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86" w:rsidRDefault="007E5414">
      <w:r>
        <w:rPr>
          <w:lang w:val="ru-RU"/>
        </w:rPr>
        <w:t>АТ</w:t>
      </w:r>
      <w:r>
        <w:t xml:space="preserve"> «БАНК </w:t>
      </w:r>
      <w:r w:rsidR="00A07923">
        <w:t>КРЕДИТ ДНІПРО</w:t>
      </w:r>
      <w:r>
        <w:t>»</w:t>
      </w:r>
    </w:p>
    <w:p w:rsidR="007E5414" w:rsidRDefault="007E5414" w:rsidP="007E5414">
      <w:pPr>
        <w:jc w:val="right"/>
      </w:pPr>
      <w:r>
        <w:t>«</w:t>
      </w:r>
      <w:r w:rsidR="002166E2">
        <w:t xml:space="preserve">1 </w:t>
      </w:r>
      <w:r>
        <w:t xml:space="preserve">»  </w:t>
      </w:r>
      <w:r w:rsidR="002166E2">
        <w:t>листопада</w:t>
      </w:r>
      <w:r>
        <w:t xml:space="preserve"> 2021р.</w:t>
      </w:r>
    </w:p>
    <w:p w:rsidR="007E5414" w:rsidRDefault="007E5414" w:rsidP="007E5414">
      <w:pPr>
        <w:jc w:val="right"/>
      </w:pPr>
    </w:p>
    <w:p w:rsidR="00791BFF" w:rsidRDefault="00791BFF" w:rsidP="007E5414">
      <w:pPr>
        <w:jc w:val="right"/>
      </w:pPr>
    </w:p>
    <w:p w:rsidR="00791BFF" w:rsidRDefault="00791BFF" w:rsidP="007E5414">
      <w:pPr>
        <w:jc w:val="right"/>
      </w:pPr>
    </w:p>
    <w:p w:rsidR="007E5414" w:rsidRDefault="007E5414" w:rsidP="007E5414">
      <w:pPr>
        <w:jc w:val="center"/>
        <w:rPr>
          <w:b/>
          <w:sz w:val="28"/>
          <w:szCs w:val="28"/>
        </w:rPr>
      </w:pPr>
      <w:r w:rsidRPr="007E5414">
        <w:rPr>
          <w:b/>
          <w:sz w:val="28"/>
          <w:szCs w:val="28"/>
        </w:rPr>
        <w:t>Запит тендерних пропозицій</w:t>
      </w:r>
    </w:p>
    <w:p w:rsidR="007E5414" w:rsidRDefault="007E5414" w:rsidP="007E5414">
      <w:pPr>
        <w:jc w:val="center"/>
        <w:rPr>
          <w:b/>
          <w:sz w:val="28"/>
          <w:szCs w:val="28"/>
        </w:rPr>
      </w:pPr>
    </w:p>
    <w:p w:rsidR="007E5414" w:rsidRDefault="007E5414" w:rsidP="007E5414">
      <w:r>
        <w:t>Кінцевий термін подання</w:t>
      </w:r>
      <w:r w:rsidR="002166E2">
        <w:t xml:space="preserve"> тендерних пропозицій:        «10</w:t>
      </w:r>
      <w:r>
        <w:t xml:space="preserve">»   </w:t>
      </w:r>
      <w:r w:rsidR="002166E2">
        <w:t>листопада</w:t>
      </w:r>
      <w:r>
        <w:t xml:space="preserve">  2021 р.</w:t>
      </w:r>
    </w:p>
    <w:p w:rsidR="00BC6B20" w:rsidRDefault="00BC6B20" w:rsidP="007E5414">
      <w:r>
        <w:t>Термін дії тендерної пропозиції   «</w:t>
      </w:r>
      <w:r w:rsidR="002166E2">
        <w:t>30</w:t>
      </w:r>
      <w:r>
        <w:t xml:space="preserve">»  </w:t>
      </w:r>
      <w:r w:rsidR="002166E2">
        <w:t xml:space="preserve">грудня </w:t>
      </w:r>
      <w:r>
        <w:t xml:space="preserve"> 2021р.</w:t>
      </w:r>
    </w:p>
    <w:p w:rsidR="00BC6B20" w:rsidRDefault="00BC6B20" w:rsidP="007E5414"/>
    <w:p w:rsidR="00BC6B20" w:rsidRDefault="00BC6B20" w:rsidP="007E5414"/>
    <w:p w:rsidR="00791BFF" w:rsidRDefault="00791BFF" w:rsidP="007E5414"/>
    <w:p w:rsidR="00791BFF" w:rsidRDefault="00791BFF" w:rsidP="007E5414"/>
    <w:p w:rsidR="00791BFF" w:rsidRDefault="00791BFF" w:rsidP="007E5414"/>
    <w:p w:rsidR="00BC6B20" w:rsidRDefault="00BC6B20" w:rsidP="00BC6B20">
      <w:pPr>
        <w:jc w:val="center"/>
        <w:rPr>
          <w:b/>
          <w:sz w:val="28"/>
          <w:szCs w:val="28"/>
        </w:rPr>
      </w:pPr>
      <w:r w:rsidRPr="00BC6B20">
        <w:rPr>
          <w:sz w:val="28"/>
          <w:szCs w:val="28"/>
        </w:rPr>
        <w:t>«</w:t>
      </w:r>
      <w:r w:rsidRPr="00BC6B20">
        <w:rPr>
          <w:b/>
          <w:sz w:val="28"/>
          <w:szCs w:val="28"/>
        </w:rPr>
        <w:t>Обслуговування ІТ інфраструктури віддалених підрозділів Банку»</w:t>
      </w:r>
    </w:p>
    <w:p w:rsidR="009013DC" w:rsidRDefault="009013DC" w:rsidP="00BC6B20">
      <w:pPr>
        <w:jc w:val="center"/>
        <w:rPr>
          <w:b/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E60DE2" w:rsidRDefault="00E60DE2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Default="009013DC" w:rsidP="009013DC">
      <w:pPr>
        <w:rPr>
          <w:sz w:val="28"/>
          <w:szCs w:val="28"/>
        </w:rPr>
      </w:pPr>
    </w:p>
    <w:p w:rsidR="009013DC" w:rsidRPr="00E04499" w:rsidRDefault="009013DC" w:rsidP="001F3690">
      <w:pPr>
        <w:pStyle w:val="a3"/>
        <w:numPr>
          <w:ilvl w:val="0"/>
          <w:numId w:val="3"/>
        </w:numPr>
        <w:jc w:val="both"/>
        <w:rPr>
          <w:b/>
        </w:rPr>
      </w:pPr>
      <w:r w:rsidRPr="00E04499">
        <w:rPr>
          <w:b/>
        </w:rPr>
        <w:lastRenderedPageBreak/>
        <w:t>Вступ</w:t>
      </w:r>
    </w:p>
    <w:p w:rsidR="009013DC" w:rsidRDefault="002F51FA" w:rsidP="001F3690">
      <w:pPr>
        <w:pStyle w:val="a3"/>
        <w:jc w:val="both"/>
      </w:pPr>
      <w:r>
        <w:t xml:space="preserve">АТ «БАНК </w:t>
      </w:r>
      <w:r w:rsidR="00A07923">
        <w:t>КРЕДИТ ДНІПРО</w:t>
      </w:r>
      <w:r>
        <w:t>», надалі іменовано «Банк», запрошує Вашу компанію до подання тендерної пропозиції щодо надання послуг з обслуговування ІТ інфраструктури віддалених підрозділів Банку.</w:t>
      </w:r>
    </w:p>
    <w:p w:rsidR="009013DC" w:rsidRPr="00E04499" w:rsidRDefault="004209E0" w:rsidP="001F3690">
      <w:pPr>
        <w:pStyle w:val="a3"/>
        <w:numPr>
          <w:ilvl w:val="1"/>
          <w:numId w:val="11"/>
        </w:numPr>
        <w:jc w:val="both"/>
        <w:rPr>
          <w:b/>
        </w:rPr>
      </w:pPr>
      <w:r w:rsidRPr="00E04499">
        <w:rPr>
          <w:b/>
        </w:rPr>
        <w:t>Загальна інформація про відда</w:t>
      </w:r>
      <w:r w:rsidR="002F51FA" w:rsidRPr="00E04499">
        <w:rPr>
          <w:b/>
        </w:rPr>
        <w:t>лені підрозділи Банку</w:t>
      </w:r>
    </w:p>
    <w:p w:rsidR="00EB75BD" w:rsidRDefault="002F51FA" w:rsidP="001F3690">
      <w:pPr>
        <w:pStyle w:val="a3"/>
        <w:numPr>
          <w:ilvl w:val="2"/>
          <w:numId w:val="11"/>
        </w:numPr>
        <w:jc w:val="both"/>
      </w:pPr>
      <w:r>
        <w:t>Банк, окрім головних офісів (</w:t>
      </w:r>
      <w:r w:rsidRPr="008B6771">
        <w:rPr>
          <w:b/>
        </w:rPr>
        <w:t>ГО</w:t>
      </w:r>
      <w:r>
        <w:t>), розміщених в містах Київ та Дніпро, має розгалужену мережу віддалених підрозділів різного типу за призначенням, надалі «</w:t>
      </w:r>
      <w:r w:rsidRPr="008B6771">
        <w:rPr>
          <w:b/>
        </w:rPr>
        <w:t>майданчики</w:t>
      </w:r>
      <w:r>
        <w:t xml:space="preserve">». До них відносяться </w:t>
      </w:r>
      <w:r w:rsidRPr="00A56CE5">
        <w:rPr>
          <w:b/>
        </w:rPr>
        <w:t>Відділення, Інформаційно-консультаційні центри (ІКЦ) та Агроофіси</w:t>
      </w:r>
      <w:r>
        <w:t xml:space="preserve">. Відділення </w:t>
      </w:r>
      <w:r w:rsidR="00222F36">
        <w:t xml:space="preserve">призначені для надання класичних банківських послуг та налічують у своєму складі </w:t>
      </w:r>
      <w:r w:rsidR="004209E0">
        <w:t xml:space="preserve">від 3-х до 20-ти співробітників. ІКЦ  </w:t>
      </w:r>
      <w:r w:rsidR="000519EE">
        <w:t xml:space="preserve">- Інформаційно-консультаційні центри призначені для інформування потенційних клієнтів Банку про послуги, які може надати Банк, та для надання консультацій щодо отримання таких послуг.  ІКЦ налічують 1 – 3 співробітники Банку. Агроофіси призначені для надання банківських послуг в аграрній сфері. Вони мають в своєму складі  1- 3 співробітники Банку.  </w:t>
      </w:r>
      <w:r w:rsidR="008B6771">
        <w:t>Всі майданчики забезпечені комплектом комп’ютерної та офісної техніки, каналами зв’язку та передачі даних.</w:t>
      </w:r>
    </w:p>
    <w:p w:rsidR="00A56CE5" w:rsidRPr="00E04499" w:rsidRDefault="00A56CE5" w:rsidP="001F3690">
      <w:pPr>
        <w:pStyle w:val="a3"/>
        <w:numPr>
          <w:ilvl w:val="1"/>
          <w:numId w:val="11"/>
        </w:numPr>
        <w:jc w:val="both"/>
        <w:rPr>
          <w:b/>
        </w:rPr>
      </w:pPr>
      <w:r w:rsidRPr="00E04499">
        <w:rPr>
          <w:b/>
        </w:rPr>
        <w:t>Обсяг послуг, що підлягають закупівлі</w:t>
      </w:r>
      <w:r w:rsidR="004209E0" w:rsidRPr="00E04499">
        <w:rPr>
          <w:b/>
        </w:rPr>
        <w:t xml:space="preserve">   </w:t>
      </w:r>
    </w:p>
    <w:p w:rsidR="00141FC6" w:rsidRDefault="00141FC6" w:rsidP="001F3690">
      <w:pPr>
        <w:pStyle w:val="a3"/>
        <w:numPr>
          <w:ilvl w:val="2"/>
          <w:numId w:val="11"/>
        </w:numPr>
        <w:jc w:val="both"/>
      </w:pPr>
      <w:r>
        <w:t xml:space="preserve"> Надання сервісу друку за типом «Покопійна оплата» на </w:t>
      </w:r>
      <w:r w:rsidR="00A07923">
        <w:t xml:space="preserve">майданчиках типу «Відділення» </w:t>
      </w:r>
      <w:r>
        <w:t xml:space="preserve"> згідно Додатку 1;</w:t>
      </w:r>
    </w:p>
    <w:p w:rsidR="00141FC6" w:rsidRDefault="00141FC6" w:rsidP="001F3690">
      <w:pPr>
        <w:pStyle w:val="a3"/>
        <w:numPr>
          <w:ilvl w:val="2"/>
          <w:numId w:val="11"/>
        </w:numPr>
        <w:jc w:val="both"/>
      </w:pPr>
      <w:r>
        <w:t xml:space="preserve"> Обслуговування друкуючої техніки</w:t>
      </w:r>
      <w:r w:rsidR="00E04499">
        <w:t xml:space="preserve"> на майданчиках усіх типів</w:t>
      </w:r>
      <w:r>
        <w:t>, яка не входить до п. 1.</w:t>
      </w:r>
      <w:r w:rsidR="00E5648B">
        <w:t>2.</w:t>
      </w:r>
      <w:r>
        <w:t xml:space="preserve">1 , а саме: ремонт техніки, </w:t>
      </w:r>
      <w:r w:rsidR="009D374E">
        <w:t>з</w:t>
      </w:r>
      <w:r>
        <w:t xml:space="preserve">аправка та регенерація картриджів, доставка </w:t>
      </w:r>
      <w:r w:rsidR="00A07923">
        <w:t>техніки та картриджів до</w:t>
      </w:r>
      <w:r>
        <w:t xml:space="preserve"> місц</w:t>
      </w:r>
      <w:r w:rsidR="00A07923">
        <w:t>ь</w:t>
      </w:r>
      <w:r>
        <w:t xml:space="preserve"> використання, контроль та актуалізація підмінного фонду картриджів та друкуючої техніки;</w:t>
      </w:r>
    </w:p>
    <w:p w:rsidR="00A56CE5" w:rsidRDefault="009D374E" w:rsidP="001F3690">
      <w:pPr>
        <w:pStyle w:val="a3"/>
        <w:numPr>
          <w:ilvl w:val="2"/>
          <w:numId w:val="11"/>
        </w:numPr>
        <w:jc w:val="both"/>
      </w:pPr>
      <w:r>
        <w:t>П</w:t>
      </w:r>
      <w:r w:rsidR="00A56CE5" w:rsidRPr="009D374E">
        <w:t>овне обслуговування робочих місць в частині ІТ, включаючи телефонію, на майданчиках</w:t>
      </w:r>
      <w:r w:rsidR="00A07923">
        <w:t>,</w:t>
      </w:r>
      <w:r w:rsidR="00A56CE5" w:rsidRPr="009D374E">
        <w:t xml:space="preserve"> згідно </w:t>
      </w:r>
      <w:r w:rsidR="00A56CE5" w:rsidRPr="00FC35E5">
        <w:rPr>
          <w:b/>
        </w:rPr>
        <w:t>Додатку</w:t>
      </w:r>
      <w:r w:rsidR="00FC35E5" w:rsidRPr="00FC35E5">
        <w:rPr>
          <w:b/>
        </w:rPr>
        <w:t xml:space="preserve"> </w:t>
      </w:r>
      <w:r w:rsidR="00A56CE5" w:rsidRPr="00FC35E5">
        <w:rPr>
          <w:b/>
        </w:rPr>
        <w:t>1</w:t>
      </w:r>
      <w:r w:rsidR="00A56CE5" w:rsidRPr="009D374E">
        <w:t>, окрім відділень на території ГО (Жилянське, Центральне (Дніпро))</w:t>
      </w:r>
      <w:r w:rsidR="00A56CE5">
        <w:t>;</w:t>
      </w:r>
    </w:p>
    <w:p w:rsidR="009D374E" w:rsidRDefault="009D374E" w:rsidP="001F3690">
      <w:pPr>
        <w:pStyle w:val="a3"/>
        <w:numPr>
          <w:ilvl w:val="2"/>
          <w:numId w:val="11"/>
        </w:numPr>
        <w:jc w:val="both"/>
      </w:pPr>
      <w:r>
        <w:t xml:space="preserve"> </w:t>
      </w:r>
      <w:r w:rsidR="00344AEA">
        <w:rPr>
          <w:lang w:val="ru-RU"/>
        </w:rPr>
        <w:t>В</w:t>
      </w:r>
      <w:proofErr w:type="spellStart"/>
      <w:r w:rsidR="00344AEA" w:rsidRPr="009D374E">
        <w:t>иконання</w:t>
      </w:r>
      <w:proofErr w:type="spellEnd"/>
      <w:r w:rsidR="00A56CE5" w:rsidRPr="009D374E">
        <w:t xml:space="preserve"> робіт з СКМ (структурованими кабельними мережами) на </w:t>
      </w:r>
      <w:r>
        <w:t>майданчиках</w:t>
      </w:r>
      <w:r w:rsidR="00A56CE5" w:rsidRPr="009D374E">
        <w:t xml:space="preserve">, згідно </w:t>
      </w:r>
      <w:r w:rsidR="00A56CE5" w:rsidRPr="00FC35E5">
        <w:rPr>
          <w:b/>
        </w:rPr>
        <w:t>Додатку</w:t>
      </w:r>
      <w:proofErr w:type="gramStart"/>
      <w:r w:rsidR="00A56CE5" w:rsidRPr="00FC35E5">
        <w:rPr>
          <w:b/>
        </w:rPr>
        <w:t xml:space="preserve">1 </w:t>
      </w:r>
      <w:r w:rsidR="00A56CE5" w:rsidRPr="009D374E">
        <w:t>;</w:t>
      </w:r>
      <w:proofErr w:type="gramEnd"/>
    </w:p>
    <w:p w:rsidR="00A56CE5" w:rsidRPr="009D374E" w:rsidRDefault="009D374E" w:rsidP="001F3690">
      <w:pPr>
        <w:pStyle w:val="a3"/>
        <w:numPr>
          <w:ilvl w:val="2"/>
          <w:numId w:val="11"/>
        </w:numPr>
        <w:jc w:val="both"/>
      </w:pPr>
      <w:r>
        <w:t xml:space="preserve"> О</w:t>
      </w:r>
      <w:r w:rsidR="00A56CE5" w:rsidRPr="009D374E">
        <w:t>бслуговування кінцевих точок продаж (POS-</w:t>
      </w:r>
      <w:proofErr w:type="spellStart"/>
      <w:r w:rsidR="00A56CE5" w:rsidRPr="009D374E">
        <w:t>terminal</w:t>
      </w:r>
      <w:proofErr w:type="spellEnd"/>
      <w:r w:rsidR="00A56CE5" w:rsidRPr="009D374E">
        <w:t>) за типом розширеного технічного обслуговування першої лінії- FLM (</w:t>
      </w:r>
      <w:proofErr w:type="spellStart"/>
      <w:r w:rsidR="00A56CE5" w:rsidRPr="009D374E">
        <w:t>First</w:t>
      </w:r>
      <w:proofErr w:type="spellEnd"/>
      <w:r w:rsidR="00A56CE5" w:rsidRPr="009D374E">
        <w:t xml:space="preserve"> </w:t>
      </w:r>
      <w:proofErr w:type="spellStart"/>
      <w:r w:rsidR="00A56CE5" w:rsidRPr="009D374E">
        <w:t>Line</w:t>
      </w:r>
      <w:proofErr w:type="spellEnd"/>
      <w:r w:rsidR="00A56CE5" w:rsidRPr="009D374E">
        <w:t xml:space="preserve"> </w:t>
      </w:r>
      <w:proofErr w:type="spellStart"/>
      <w:r w:rsidR="00A56CE5" w:rsidRPr="009D374E">
        <w:t>Maintenance</w:t>
      </w:r>
      <w:proofErr w:type="spellEnd"/>
      <w:r w:rsidR="00A56CE5" w:rsidRPr="009D374E">
        <w:t>);</w:t>
      </w:r>
    </w:p>
    <w:p w:rsidR="00A56CE5" w:rsidRDefault="00344AEA" w:rsidP="001F3690">
      <w:pPr>
        <w:pStyle w:val="a3"/>
        <w:numPr>
          <w:ilvl w:val="2"/>
          <w:numId w:val="11"/>
        </w:numPr>
        <w:jc w:val="both"/>
      </w:pPr>
      <w:r w:rsidRPr="00C52951">
        <w:t xml:space="preserve"> </w:t>
      </w:r>
      <w:r>
        <w:rPr>
          <w:lang w:val="ru-RU"/>
        </w:rPr>
        <w:t>П</w:t>
      </w:r>
      <w:proofErr w:type="spellStart"/>
      <w:r w:rsidR="00553120" w:rsidRPr="00344AEA">
        <w:t>ереміщення</w:t>
      </w:r>
      <w:proofErr w:type="spellEnd"/>
      <w:r w:rsidR="00A56CE5" w:rsidRPr="00344AEA">
        <w:t xml:space="preserve"> техніки між територіально віддаленими об’єктами Банку;</w:t>
      </w:r>
    </w:p>
    <w:p w:rsidR="00344AEA" w:rsidRPr="00E04499" w:rsidRDefault="00344AEA" w:rsidP="001F3690">
      <w:pPr>
        <w:pStyle w:val="a3"/>
        <w:numPr>
          <w:ilvl w:val="1"/>
          <w:numId w:val="11"/>
        </w:numPr>
        <w:jc w:val="both"/>
        <w:rPr>
          <w:b/>
          <w:lang w:val="ru-RU"/>
        </w:rPr>
      </w:pPr>
      <w:r w:rsidRPr="00E04499">
        <w:rPr>
          <w:b/>
        </w:rPr>
        <w:t>Технічні та якісні характеристики послуг</w:t>
      </w:r>
    </w:p>
    <w:p w:rsidR="00344AEA" w:rsidRDefault="00344AEA" w:rsidP="001F3690">
      <w:pPr>
        <w:pStyle w:val="a3"/>
        <w:ind w:left="1416" w:firstLine="624"/>
        <w:jc w:val="both"/>
      </w:pPr>
      <w:r>
        <w:t xml:space="preserve">Вимоги до технічних та якісних характеристик послуг надані в </w:t>
      </w:r>
      <w:r w:rsidRPr="00A07923">
        <w:rPr>
          <w:b/>
        </w:rPr>
        <w:t>Додатку 2</w:t>
      </w:r>
      <w:r>
        <w:t>.</w:t>
      </w:r>
    </w:p>
    <w:p w:rsidR="005E2FB7" w:rsidRPr="005E2FB7" w:rsidRDefault="005E2FB7" w:rsidP="001F3690">
      <w:pPr>
        <w:pStyle w:val="a3"/>
        <w:numPr>
          <w:ilvl w:val="0"/>
          <w:numId w:val="12"/>
        </w:numPr>
        <w:ind w:left="984"/>
        <w:jc w:val="both"/>
        <w:rPr>
          <w:vanish/>
        </w:rPr>
      </w:pPr>
    </w:p>
    <w:p w:rsidR="005E2FB7" w:rsidRPr="005E2FB7" w:rsidRDefault="005E2FB7" w:rsidP="001F3690">
      <w:pPr>
        <w:pStyle w:val="a3"/>
        <w:numPr>
          <w:ilvl w:val="1"/>
          <w:numId w:val="12"/>
        </w:numPr>
        <w:ind w:left="1416"/>
        <w:jc w:val="both"/>
        <w:rPr>
          <w:vanish/>
        </w:rPr>
      </w:pPr>
    </w:p>
    <w:p w:rsidR="005E2FB7" w:rsidRPr="005E2FB7" w:rsidRDefault="005E2FB7" w:rsidP="001F3690">
      <w:pPr>
        <w:pStyle w:val="a3"/>
        <w:numPr>
          <w:ilvl w:val="1"/>
          <w:numId w:val="12"/>
        </w:numPr>
        <w:ind w:left="1416"/>
        <w:jc w:val="both"/>
        <w:rPr>
          <w:vanish/>
        </w:rPr>
      </w:pPr>
    </w:p>
    <w:p w:rsidR="005E2FB7" w:rsidRPr="005E2FB7" w:rsidRDefault="005E2FB7" w:rsidP="001F3690">
      <w:pPr>
        <w:pStyle w:val="a3"/>
        <w:numPr>
          <w:ilvl w:val="1"/>
          <w:numId w:val="12"/>
        </w:numPr>
        <w:ind w:left="1416"/>
        <w:jc w:val="both"/>
        <w:rPr>
          <w:vanish/>
        </w:rPr>
      </w:pPr>
    </w:p>
    <w:p w:rsidR="001F3690" w:rsidRPr="001F3690" w:rsidRDefault="00344AEA" w:rsidP="001F3690">
      <w:pPr>
        <w:pStyle w:val="a3"/>
        <w:numPr>
          <w:ilvl w:val="0"/>
          <w:numId w:val="12"/>
        </w:numPr>
        <w:spacing w:after="0" w:line="240" w:lineRule="auto"/>
        <w:jc w:val="both"/>
      </w:pPr>
      <w:r w:rsidRPr="001F3690">
        <w:rPr>
          <w:b/>
        </w:rPr>
        <w:t>Мета та цілі закупівлі</w:t>
      </w:r>
    </w:p>
    <w:p w:rsidR="00344AEA" w:rsidRDefault="00344AEA" w:rsidP="001F3690">
      <w:pPr>
        <w:spacing w:after="0" w:line="240" w:lineRule="auto"/>
        <w:ind w:left="1332"/>
        <w:jc w:val="both"/>
      </w:pPr>
      <w:r>
        <w:t>Отримання якісних та вчасних послуг з обслугов</w:t>
      </w:r>
      <w:r w:rsidR="005E2FB7">
        <w:t>ування ІТ інфраструктури віддалених підрозділів Банку.</w:t>
      </w:r>
    </w:p>
    <w:p w:rsidR="005E2FB7" w:rsidRPr="00E04499" w:rsidRDefault="005E2FB7" w:rsidP="001F3690">
      <w:pPr>
        <w:pStyle w:val="a3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E04499">
        <w:rPr>
          <w:b/>
        </w:rPr>
        <w:t>Адміністративні вимоги</w:t>
      </w:r>
    </w:p>
    <w:p w:rsidR="005E2FB7" w:rsidRPr="00E04499" w:rsidRDefault="005E2FB7" w:rsidP="001F3690">
      <w:pPr>
        <w:pStyle w:val="a3"/>
        <w:numPr>
          <w:ilvl w:val="1"/>
          <w:numId w:val="12"/>
        </w:numPr>
        <w:jc w:val="both"/>
        <w:rPr>
          <w:b/>
        </w:rPr>
      </w:pPr>
      <w:r w:rsidRPr="00E04499">
        <w:rPr>
          <w:b/>
        </w:rPr>
        <w:t>Закупівельна документація</w:t>
      </w:r>
    </w:p>
    <w:p w:rsidR="005E2FB7" w:rsidRDefault="005E2FB7" w:rsidP="001F3690">
      <w:pPr>
        <w:pStyle w:val="a3"/>
        <w:ind w:left="792"/>
        <w:jc w:val="both"/>
      </w:pPr>
      <w:r>
        <w:t>Закупівельна документація складається з наступних документів і додатків</w:t>
      </w:r>
    </w:p>
    <w:p w:rsidR="005E2FB7" w:rsidRDefault="005E2FB7" w:rsidP="001F3690">
      <w:pPr>
        <w:pStyle w:val="a3"/>
        <w:numPr>
          <w:ilvl w:val="2"/>
          <w:numId w:val="13"/>
        </w:numPr>
        <w:ind w:left="1452"/>
        <w:jc w:val="both"/>
      </w:pPr>
      <w:r>
        <w:t xml:space="preserve"> </w:t>
      </w:r>
      <w:r w:rsidRPr="005E2FB7">
        <w:t>Запит тенд</w:t>
      </w:r>
      <w:r>
        <w:t>ерних пропозицій (цей документ)</w:t>
      </w:r>
    </w:p>
    <w:p w:rsidR="005E2FB7" w:rsidRDefault="00C47EB2" w:rsidP="001F3690">
      <w:pPr>
        <w:pStyle w:val="a3"/>
        <w:numPr>
          <w:ilvl w:val="2"/>
          <w:numId w:val="13"/>
        </w:numPr>
        <w:ind w:left="1452"/>
        <w:jc w:val="both"/>
      </w:pPr>
      <w:r>
        <w:t xml:space="preserve"> Додаток 1. </w:t>
      </w:r>
      <w:r w:rsidR="005E2FB7">
        <w:t xml:space="preserve">Перелік майданчиків для надання послуг </w:t>
      </w:r>
    </w:p>
    <w:p w:rsidR="005E2FB7" w:rsidRDefault="00C47EB2" w:rsidP="001F3690">
      <w:pPr>
        <w:pStyle w:val="a3"/>
        <w:numPr>
          <w:ilvl w:val="2"/>
          <w:numId w:val="13"/>
        </w:numPr>
        <w:ind w:left="1452"/>
        <w:jc w:val="both"/>
      </w:pPr>
      <w:r>
        <w:t xml:space="preserve"> Додаток 2. Технічні та якісні характеристики послуг </w:t>
      </w:r>
    </w:p>
    <w:p w:rsidR="00C47EB2" w:rsidRDefault="00C47EB2" w:rsidP="001F3690">
      <w:pPr>
        <w:pStyle w:val="a3"/>
        <w:numPr>
          <w:ilvl w:val="2"/>
          <w:numId w:val="13"/>
        </w:numPr>
        <w:ind w:left="1452"/>
        <w:jc w:val="both"/>
      </w:pPr>
      <w:r>
        <w:t xml:space="preserve"> Додаток 3. Шаблон для надання цінових пропозицій</w:t>
      </w:r>
    </w:p>
    <w:p w:rsidR="00C47EB2" w:rsidRPr="00E04499" w:rsidRDefault="00C47EB2" w:rsidP="001F3690">
      <w:pPr>
        <w:pStyle w:val="a3"/>
        <w:numPr>
          <w:ilvl w:val="1"/>
          <w:numId w:val="12"/>
        </w:numPr>
        <w:jc w:val="both"/>
        <w:rPr>
          <w:b/>
        </w:rPr>
      </w:pPr>
      <w:r w:rsidRPr="00E04499">
        <w:rPr>
          <w:b/>
        </w:rPr>
        <w:t>Мова документів</w:t>
      </w:r>
    </w:p>
    <w:p w:rsidR="00C47EB2" w:rsidRDefault="00C47EB2" w:rsidP="001F3690">
      <w:pPr>
        <w:pStyle w:val="a3"/>
        <w:ind w:left="792"/>
        <w:jc w:val="both"/>
      </w:pPr>
      <w:r w:rsidRPr="00C47EB2">
        <w:t xml:space="preserve">Оригінали документів, що входять до складу закупівельної документації, підготовлені українською мовою. Тендерна пропозиція </w:t>
      </w:r>
      <w:r>
        <w:t>має</w:t>
      </w:r>
      <w:r w:rsidRPr="00C47EB2">
        <w:t xml:space="preserve"> бути подана українською</w:t>
      </w:r>
      <w:r w:rsidR="00A07923">
        <w:t xml:space="preserve"> мовою</w:t>
      </w:r>
      <w:r>
        <w:t>.</w:t>
      </w:r>
    </w:p>
    <w:p w:rsidR="00C47EB2" w:rsidRPr="00E04499" w:rsidRDefault="00C47EB2" w:rsidP="001F3690">
      <w:pPr>
        <w:pStyle w:val="a3"/>
        <w:numPr>
          <w:ilvl w:val="1"/>
          <w:numId w:val="12"/>
        </w:numPr>
        <w:jc w:val="both"/>
        <w:rPr>
          <w:b/>
        </w:rPr>
      </w:pPr>
      <w:r w:rsidRPr="00E04499">
        <w:rPr>
          <w:b/>
        </w:rPr>
        <w:t>Замовник</w:t>
      </w:r>
    </w:p>
    <w:p w:rsidR="00C47EB2" w:rsidRPr="00BA1D46" w:rsidRDefault="00C47EB2" w:rsidP="001F3690">
      <w:pPr>
        <w:pStyle w:val="a3"/>
        <w:ind w:left="792"/>
        <w:jc w:val="both"/>
      </w:pPr>
      <w:r w:rsidRPr="00BA1D46">
        <w:t xml:space="preserve">АТ «БАНК </w:t>
      </w:r>
      <w:r w:rsidR="00A07923" w:rsidRPr="00BA1D46">
        <w:t>КРЕДИТ ДНІПРО</w:t>
      </w:r>
      <w:r w:rsidRPr="00BA1D46">
        <w:t>»</w:t>
      </w:r>
    </w:p>
    <w:p w:rsidR="007721B0" w:rsidRPr="00BA1D46" w:rsidRDefault="007721B0" w:rsidP="001F3690">
      <w:pPr>
        <w:pStyle w:val="a3"/>
        <w:ind w:left="792"/>
        <w:jc w:val="both"/>
      </w:pPr>
      <w:r w:rsidRPr="00BA1D46">
        <w:t>Київ, вул. Жилянська,32</w:t>
      </w:r>
    </w:p>
    <w:p w:rsidR="007721B0" w:rsidRPr="00E04499" w:rsidRDefault="007721B0" w:rsidP="001F3690">
      <w:pPr>
        <w:pStyle w:val="a3"/>
        <w:numPr>
          <w:ilvl w:val="1"/>
          <w:numId w:val="12"/>
        </w:numPr>
        <w:jc w:val="both"/>
        <w:rPr>
          <w:b/>
        </w:rPr>
      </w:pPr>
      <w:r w:rsidRPr="00E04499">
        <w:rPr>
          <w:b/>
        </w:rPr>
        <w:t>Розповсюдження закупівельної документації</w:t>
      </w:r>
    </w:p>
    <w:p w:rsidR="007721B0" w:rsidRDefault="007721B0" w:rsidP="001F3690">
      <w:pPr>
        <w:pStyle w:val="a3"/>
        <w:ind w:left="792"/>
        <w:jc w:val="both"/>
      </w:pPr>
      <w:r w:rsidRPr="007721B0">
        <w:lastRenderedPageBreak/>
        <w:t>Закупівельна документація розповсюджується</w:t>
      </w:r>
      <w:r>
        <w:t xml:space="preserve"> шляхом розсилання запрошення до участі в тендері на електронні поштові скриньки компаніям- основним гравцям на ринку за профілем запиту</w:t>
      </w:r>
      <w:r w:rsidR="00E04499">
        <w:t xml:space="preserve"> та публікується на сайті Банку</w:t>
      </w:r>
      <w:r>
        <w:t>.</w:t>
      </w:r>
    </w:p>
    <w:p w:rsidR="007721B0" w:rsidRPr="00E04499" w:rsidRDefault="007721B0" w:rsidP="001F3690">
      <w:pPr>
        <w:pStyle w:val="a3"/>
        <w:numPr>
          <w:ilvl w:val="1"/>
          <w:numId w:val="12"/>
        </w:numPr>
        <w:jc w:val="both"/>
        <w:rPr>
          <w:b/>
        </w:rPr>
      </w:pPr>
      <w:r w:rsidRPr="00E04499">
        <w:rPr>
          <w:b/>
        </w:rPr>
        <w:t>Питання та роз’яснення</w:t>
      </w:r>
    </w:p>
    <w:p w:rsidR="007721B0" w:rsidRDefault="007721B0" w:rsidP="001F3690">
      <w:pPr>
        <w:pStyle w:val="a3"/>
        <w:ind w:left="792"/>
        <w:jc w:val="both"/>
      </w:pPr>
      <w:r w:rsidRPr="007721B0">
        <w:t xml:space="preserve">Учасники можуть задавати запитання лише протягом періоду уточнень, який триває </w:t>
      </w:r>
      <w:r>
        <w:t>сім</w:t>
      </w:r>
      <w:r w:rsidRPr="007721B0">
        <w:t xml:space="preserve"> робочих дні</w:t>
      </w:r>
      <w:r>
        <w:t>в</w:t>
      </w:r>
      <w:r w:rsidRPr="007721B0">
        <w:t xml:space="preserve"> з моменту публікації оголош</w:t>
      </w:r>
      <w:bookmarkStart w:id="0" w:name="_GoBack"/>
      <w:bookmarkEnd w:id="0"/>
      <w:r w:rsidRPr="007721B0">
        <w:t>ення.</w:t>
      </w:r>
    </w:p>
    <w:p w:rsidR="007721B0" w:rsidRPr="00E04499" w:rsidRDefault="007721B0" w:rsidP="001F3690">
      <w:pPr>
        <w:pStyle w:val="a3"/>
        <w:numPr>
          <w:ilvl w:val="1"/>
          <w:numId w:val="12"/>
        </w:numPr>
        <w:jc w:val="both"/>
        <w:rPr>
          <w:b/>
        </w:rPr>
      </w:pPr>
      <w:r w:rsidRPr="00E04499">
        <w:rPr>
          <w:b/>
        </w:rPr>
        <w:t>Подання тендерної пропозиції</w:t>
      </w:r>
    </w:p>
    <w:p w:rsidR="007721B0" w:rsidRDefault="007721B0" w:rsidP="001F3690">
      <w:pPr>
        <w:pStyle w:val="a3"/>
        <w:ind w:left="792"/>
        <w:jc w:val="both"/>
      </w:pPr>
      <w:r>
        <w:t xml:space="preserve">Учасники можуть подавати свої пропозиції  з моменту початку прийому пропозицій і до моменту завершення цього періоду, який визначено в Оголошенні. Після початку прийому пропозицій, Замовник не може вносити зміни до оголошення і надавати відповіді Учасникам. Учасники подають пропозиції на тендер виключно </w:t>
      </w:r>
      <w:r w:rsidR="00E068BF" w:rsidRPr="00C52951">
        <w:t xml:space="preserve">електронною поштою на адресу відділу контролінгу </w:t>
      </w:r>
      <w:r w:rsidR="00E068BF" w:rsidRPr="006B3831">
        <w:t xml:space="preserve">Замовника </w:t>
      </w:r>
      <w:hyperlink r:id="rId8" w:history="1">
        <w:r w:rsidR="00C52951" w:rsidRPr="006B3831">
          <w:rPr>
            <w:rStyle w:val="a9"/>
            <w:rFonts w:ascii="Helv" w:hAnsi="Helv" w:cs="Helv"/>
            <w:sz w:val="20"/>
            <w:szCs w:val="20"/>
          </w:rPr>
          <w:t>Olga.Kurdachenko@creditdnepr.com</w:t>
        </w:r>
      </w:hyperlink>
      <w:r w:rsidR="00C52951">
        <w:rPr>
          <w:rFonts w:cs="Helv"/>
          <w:color w:val="000000"/>
          <w:sz w:val="20"/>
          <w:szCs w:val="20"/>
          <w:lang w:val="ru-RU"/>
        </w:rPr>
        <w:t xml:space="preserve">. </w:t>
      </w:r>
      <w:r>
        <w:t xml:space="preserve">До завершення періоду подання пропозицій, Учасник може внести зміни до неї або скасувати свою пропозицію. До моменту </w:t>
      </w:r>
      <w:r w:rsidR="00E068BF">
        <w:t xml:space="preserve">розгляду пропозицій, відділ контролінгу Замовника </w:t>
      </w:r>
      <w:r>
        <w:t xml:space="preserve"> забезпечує їх конфіденційність. Інформація про подані пропозиції не розкривається.</w:t>
      </w:r>
    </w:p>
    <w:p w:rsidR="007721B0" w:rsidRDefault="007721B0" w:rsidP="001F3690">
      <w:pPr>
        <w:pStyle w:val="a3"/>
        <w:ind w:left="792"/>
        <w:jc w:val="both"/>
      </w:pPr>
      <w:r>
        <w:t xml:space="preserve">Тендерні пропозиції </w:t>
      </w:r>
      <w:r w:rsidR="00A07923">
        <w:t>мають</w:t>
      </w:r>
      <w:r>
        <w:t xml:space="preserve"> бути подані українською мов</w:t>
      </w:r>
      <w:r w:rsidR="00E068BF">
        <w:t>ою</w:t>
      </w:r>
      <w:r>
        <w:t xml:space="preserve"> та підписані уповноваженим представником Учасника тендеру.</w:t>
      </w:r>
    </w:p>
    <w:p w:rsidR="007721B0" w:rsidRDefault="007721B0" w:rsidP="001F3690">
      <w:pPr>
        <w:pStyle w:val="a3"/>
        <w:ind w:left="792"/>
        <w:jc w:val="both"/>
      </w:pPr>
      <w:r>
        <w:t xml:space="preserve">Тендерні пропозиції, подані </w:t>
      </w:r>
      <w:r w:rsidR="00E068BF">
        <w:t xml:space="preserve">іншим способом, окрім обумовленого в цьому абзаці </w:t>
      </w:r>
      <w:r>
        <w:t>не розглядатимуться.</w:t>
      </w:r>
    </w:p>
    <w:p w:rsidR="007721B0" w:rsidRDefault="007721B0" w:rsidP="001F3690">
      <w:pPr>
        <w:pStyle w:val="a3"/>
        <w:ind w:left="792"/>
        <w:jc w:val="both"/>
      </w:pPr>
      <w:r>
        <w:t>Компенсація витрат на підготовку тендерних пропозицій не передбачена.</w:t>
      </w:r>
    </w:p>
    <w:p w:rsidR="00CD210A" w:rsidRPr="00E04499" w:rsidRDefault="00CD210A" w:rsidP="001F3690">
      <w:pPr>
        <w:pStyle w:val="a3"/>
        <w:numPr>
          <w:ilvl w:val="1"/>
          <w:numId w:val="12"/>
        </w:numPr>
        <w:jc w:val="both"/>
        <w:rPr>
          <w:b/>
        </w:rPr>
      </w:pPr>
      <w:r w:rsidRPr="00E04499">
        <w:rPr>
          <w:b/>
        </w:rPr>
        <w:t>Термін дії тендерної пропозиції</w:t>
      </w:r>
    </w:p>
    <w:p w:rsidR="009E1FD5" w:rsidRPr="009E1FD5" w:rsidRDefault="009E1FD5" w:rsidP="001F3690">
      <w:pPr>
        <w:pStyle w:val="a3"/>
        <w:ind w:left="792"/>
        <w:jc w:val="both"/>
      </w:pPr>
      <w:r>
        <w:rPr>
          <w:lang w:val="ru-RU"/>
        </w:rPr>
        <w:t>Тен</w:t>
      </w:r>
      <w:r>
        <w:t xml:space="preserve">дерні пропозиції повинні бути </w:t>
      </w:r>
      <w:r w:rsidR="00E20DCA">
        <w:t xml:space="preserve">дійсними </w:t>
      </w:r>
      <w:r w:rsidR="00E20DCA" w:rsidRPr="00E20DCA">
        <w:rPr>
          <w:b/>
        </w:rPr>
        <w:t>до 25</w:t>
      </w:r>
      <w:r w:rsidRPr="00E20DCA">
        <w:rPr>
          <w:b/>
        </w:rPr>
        <w:t xml:space="preserve"> </w:t>
      </w:r>
      <w:r w:rsidR="00E20DCA" w:rsidRPr="00E20DCA">
        <w:rPr>
          <w:b/>
        </w:rPr>
        <w:t>грудня</w:t>
      </w:r>
      <w:r w:rsidRPr="00E20DCA">
        <w:rPr>
          <w:b/>
        </w:rPr>
        <w:t xml:space="preserve"> 202</w:t>
      </w:r>
      <w:r w:rsidR="00E20DCA" w:rsidRPr="00E20DCA">
        <w:rPr>
          <w:b/>
        </w:rPr>
        <w:t>1</w:t>
      </w:r>
      <w:r w:rsidRPr="00E20DCA">
        <w:rPr>
          <w:b/>
        </w:rPr>
        <w:t xml:space="preserve"> р.</w:t>
      </w:r>
    </w:p>
    <w:p w:rsidR="00CD210A" w:rsidRPr="00E20DCA" w:rsidRDefault="00CD210A" w:rsidP="001F3690">
      <w:pPr>
        <w:pStyle w:val="a3"/>
        <w:numPr>
          <w:ilvl w:val="1"/>
          <w:numId w:val="12"/>
        </w:numPr>
        <w:jc w:val="both"/>
        <w:rPr>
          <w:b/>
        </w:rPr>
      </w:pPr>
      <w:r w:rsidRPr="00E20DCA">
        <w:rPr>
          <w:b/>
        </w:rPr>
        <w:t>Зміст та форма тендерної пропозиції</w:t>
      </w:r>
    </w:p>
    <w:p w:rsidR="00CD210A" w:rsidRDefault="00CD210A" w:rsidP="001F3690">
      <w:pPr>
        <w:pStyle w:val="a3"/>
        <w:ind w:left="792"/>
        <w:jc w:val="both"/>
      </w:pPr>
      <w:r w:rsidRPr="00CD210A">
        <w:t>Вкрай важливо, щоб тендерна пропозиція включала всю інформацію, яка запитується. Тендерна пропозиція повинна продемонструвати виконання умов та вимог закупівельної документації. Якщо тендерні пропозиції є неповними</w:t>
      </w:r>
      <w:r w:rsidR="00E20DCA">
        <w:t>,</w:t>
      </w:r>
      <w:r w:rsidRPr="00CD210A">
        <w:t xml:space="preserve"> або тендерна пропозиція не відповідає всім вимогам, тендерна пропозиція може бути відхиленою.</w:t>
      </w:r>
    </w:p>
    <w:p w:rsidR="00CD210A" w:rsidRDefault="00CD210A" w:rsidP="001708AD">
      <w:pPr>
        <w:pStyle w:val="a3"/>
        <w:spacing w:after="0"/>
        <w:ind w:left="792"/>
        <w:jc w:val="both"/>
      </w:pPr>
      <w:r w:rsidRPr="00CD210A">
        <w:t>Закупів</w:t>
      </w:r>
      <w:r>
        <w:t>ельна документація містить форму</w:t>
      </w:r>
      <w:r w:rsidRPr="00CD210A">
        <w:t xml:space="preserve"> тендерної пропозиції </w:t>
      </w:r>
      <w:r>
        <w:t>(</w:t>
      </w:r>
      <w:r w:rsidRPr="00A07923">
        <w:rPr>
          <w:b/>
        </w:rPr>
        <w:t>Додаток 3</w:t>
      </w:r>
      <w:r>
        <w:t>)</w:t>
      </w:r>
      <w:r w:rsidRPr="00CD210A">
        <w:t xml:space="preserve">– учасникам тендеру рекомендується </w:t>
      </w:r>
      <w:r>
        <w:t>с</w:t>
      </w:r>
      <w:r w:rsidRPr="00CD210A">
        <w:t>корист</w:t>
      </w:r>
      <w:r>
        <w:t>атися</w:t>
      </w:r>
      <w:r w:rsidRPr="00CD210A">
        <w:t xml:space="preserve"> ц</w:t>
      </w:r>
      <w:r>
        <w:t>ією формою</w:t>
      </w:r>
      <w:r w:rsidRPr="00CD210A">
        <w:t xml:space="preserve"> при підготовці тендерної пропозиції з метою забезпечення включення всієї необхідної інформації.</w:t>
      </w:r>
    </w:p>
    <w:p w:rsidR="00CD210A" w:rsidRDefault="00CD210A" w:rsidP="001708AD">
      <w:pPr>
        <w:pStyle w:val="a3"/>
        <w:spacing w:after="0"/>
        <w:ind w:left="792"/>
        <w:jc w:val="both"/>
      </w:pPr>
      <w:r w:rsidRPr="00607B89">
        <w:rPr>
          <w:b/>
        </w:rPr>
        <w:t>Додаток 3</w:t>
      </w:r>
      <w:r>
        <w:t xml:space="preserve"> для </w:t>
      </w:r>
      <w:r w:rsidRPr="00CD210A">
        <w:t xml:space="preserve"> т</w:t>
      </w:r>
      <w:r>
        <w:t>ендерної пропозиції підготовлений</w:t>
      </w:r>
      <w:r w:rsidRPr="00CD210A">
        <w:t xml:space="preserve"> в форматі Microsoft </w:t>
      </w:r>
      <w:r>
        <w:rPr>
          <w:lang w:val="en-US"/>
        </w:rPr>
        <w:t>Office</w:t>
      </w:r>
      <w:r w:rsidRPr="00CD210A">
        <w:t xml:space="preserve"> </w:t>
      </w:r>
      <w:r>
        <w:rPr>
          <w:lang w:val="en-US"/>
        </w:rPr>
        <w:t>Excel</w:t>
      </w:r>
      <w:r w:rsidRPr="00CD210A">
        <w:t xml:space="preserve">. Для того, щоб прочитати та заповнити ці форми, учасник тендеру повинен мати програму, сумісну з Microsoft Office. Місце, відведене для відповіді, </w:t>
      </w:r>
      <w:r w:rsidR="0024332B">
        <w:t>виділено зеленим кольором.</w:t>
      </w:r>
      <w:r w:rsidRPr="00CD210A">
        <w:t xml:space="preserve"> </w:t>
      </w:r>
      <w:r w:rsidR="0024332B">
        <w:t xml:space="preserve">Текст, виділений червоним кольором має бути замінений у відповідності до пропозиції Учасника. </w:t>
      </w:r>
      <w:r w:rsidRPr="00CD210A">
        <w:t xml:space="preserve">У разі потреби детальний опис може бути представлений </w:t>
      </w:r>
      <w:r w:rsidR="0024332B">
        <w:t>на окремому листі цього ж файлу.</w:t>
      </w:r>
      <w:r w:rsidRPr="00CD210A">
        <w:t xml:space="preserve"> При використанні учасниками тендеру додатків важливо, щоб вони надавались разом із основною частиною тендерної пропозиції.</w:t>
      </w:r>
    </w:p>
    <w:p w:rsidR="0024332B" w:rsidRDefault="0024332B" w:rsidP="001708AD">
      <w:pPr>
        <w:pStyle w:val="a3"/>
        <w:spacing w:after="0"/>
        <w:ind w:left="792"/>
        <w:jc w:val="both"/>
      </w:pPr>
      <w:r>
        <w:t xml:space="preserve">Заповнення </w:t>
      </w:r>
      <w:r w:rsidRPr="00FC35E5">
        <w:rPr>
          <w:b/>
        </w:rPr>
        <w:t>Додатку 3</w:t>
      </w:r>
      <w:r>
        <w:t xml:space="preserve"> є обов’язковим, але не виключним. Учасник може подати додаткову пропозицію з умовами, та сервісом, не охопленим переліком </w:t>
      </w:r>
      <w:r w:rsidRPr="00607B89">
        <w:rPr>
          <w:b/>
        </w:rPr>
        <w:t>Додатку 2</w:t>
      </w:r>
      <w:r>
        <w:t>.</w:t>
      </w:r>
    </w:p>
    <w:p w:rsidR="00917059" w:rsidRPr="00E20DCA" w:rsidRDefault="00FD2834" w:rsidP="001708AD">
      <w:pPr>
        <w:spacing w:after="0"/>
        <w:ind w:left="360"/>
        <w:jc w:val="both"/>
        <w:rPr>
          <w:b/>
        </w:rPr>
      </w:pPr>
      <w:r>
        <w:t xml:space="preserve">2.9. </w:t>
      </w:r>
      <w:r w:rsidR="00917059" w:rsidRPr="00E20DCA">
        <w:rPr>
          <w:b/>
        </w:rPr>
        <w:t>Оцінка тендерних пропозицій</w:t>
      </w:r>
    </w:p>
    <w:p w:rsidR="00FD2834" w:rsidRDefault="00FD2834" w:rsidP="001708AD">
      <w:pPr>
        <w:spacing w:after="0"/>
        <w:ind w:left="720"/>
        <w:jc w:val="both"/>
      </w:pPr>
      <w:r w:rsidRPr="00FD2834">
        <w:t>Всі тендерні пропозиції, що відповідають обов’язковим вимогам, підлягають оцінці. Оцінка відбуватиметься на основі критеріїв, опис яких наведений у розділі 3.1</w:t>
      </w:r>
      <w:r>
        <w:t xml:space="preserve">. </w:t>
      </w:r>
      <w:r w:rsidR="00447AB5">
        <w:t xml:space="preserve">При оцінці наданих тендерних пропозицій АТ «БАНК </w:t>
      </w:r>
      <w:r w:rsidR="00A07923">
        <w:t>КРЕДИТ ДНІПРО</w:t>
      </w:r>
      <w:r w:rsidR="00447AB5">
        <w:t>» може вживати заходів з перевірки інформації, включеної до тендерної пропозиції. У разі надання учасниками тендеру невірної чи не достовірної в будь-якому відношенні інформації, тендерна пропозиція може бути відхиленою.</w:t>
      </w:r>
      <w:r>
        <w:t xml:space="preserve"> </w:t>
      </w:r>
    </w:p>
    <w:p w:rsidR="00E20DCA" w:rsidRDefault="00FD2834" w:rsidP="001708AD">
      <w:pPr>
        <w:spacing w:after="0"/>
        <w:jc w:val="both"/>
      </w:pPr>
      <w:r>
        <w:t xml:space="preserve">2.10. </w:t>
      </w:r>
      <w:r w:rsidR="00E20DCA" w:rsidRPr="00FD2834">
        <w:rPr>
          <w:b/>
        </w:rPr>
        <w:t>Укладання угоди за результатами тендеру</w:t>
      </w:r>
    </w:p>
    <w:p w:rsidR="009E1FD5" w:rsidRDefault="001014CE" w:rsidP="001708AD">
      <w:pPr>
        <w:pStyle w:val="a3"/>
        <w:spacing w:after="0"/>
        <w:ind w:left="792"/>
        <w:jc w:val="both"/>
      </w:pPr>
      <w:r>
        <w:t xml:space="preserve">Угода буде укладена з тим учасником тендеру, </w:t>
      </w:r>
      <w:r w:rsidRPr="001014CE">
        <w:t xml:space="preserve">тендерна пропозиція якого, згідно з результатами проведеної оцінки, відповідатиме усім вимогам та виявиться найбільш </w:t>
      </w:r>
      <w:r w:rsidRPr="001014CE">
        <w:lastRenderedPageBreak/>
        <w:t>економічно привабливою.</w:t>
      </w:r>
      <w:r>
        <w:t xml:space="preserve"> Рішення буде повідомлене всім учасникам тендеру електронною поштою</w:t>
      </w:r>
      <w:r w:rsidR="00FD2834">
        <w:t xml:space="preserve"> та опубліковане на сайті Банку</w:t>
      </w:r>
      <w:r>
        <w:t>.</w:t>
      </w:r>
    </w:p>
    <w:p w:rsidR="00E94460" w:rsidRPr="00FD2834" w:rsidRDefault="00E94460" w:rsidP="001F3690">
      <w:pPr>
        <w:pStyle w:val="a3"/>
        <w:numPr>
          <w:ilvl w:val="0"/>
          <w:numId w:val="12"/>
        </w:numPr>
        <w:jc w:val="both"/>
        <w:rPr>
          <w:b/>
        </w:rPr>
      </w:pPr>
      <w:r w:rsidRPr="00FD2834">
        <w:rPr>
          <w:b/>
        </w:rPr>
        <w:t>Критерії оцінки</w:t>
      </w:r>
      <w:r w:rsidR="00FD2834" w:rsidRPr="00FD2834">
        <w:rPr>
          <w:b/>
        </w:rPr>
        <w:t xml:space="preserve"> тендерних пропозицій</w:t>
      </w:r>
    </w:p>
    <w:p w:rsidR="00E94460" w:rsidRDefault="00E94460" w:rsidP="001F3690">
      <w:pPr>
        <w:pStyle w:val="a3"/>
        <w:ind w:left="360"/>
        <w:jc w:val="both"/>
      </w:pPr>
      <w:r>
        <w:t>Оцінка якості відбувається за наступними критеріями:</w:t>
      </w:r>
    </w:p>
    <w:tbl>
      <w:tblPr>
        <w:tblW w:w="6260" w:type="dxa"/>
        <w:tblLook w:val="04A0" w:firstRow="1" w:lastRow="0" w:firstColumn="1" w:lastColumn="0" w:noHBand="0" w:noVBand="1"/>
      </w:tblPr>
      <w:tblGrid>
        <w:gridCol w:w="4540"/>
        <w:gridCol w:w="1720"/>
      </w:tblGrid>
      <w:tr w:rsidR="005133B8" w:rsidRPr="005133B8" w:rsidTr="005133B8">
        <w:trPr>
          <w:gridBefore w:val="1"/>
          <w:wBefore w:w="4540" w:type="dxa"/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3B8" w:rsidRPr="005133B8" w:rsidRDefault="005133B8" w:rsidP="001F3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t xml:space="preserve">        </w:t>
            </w:r>
          </w:p>
        </w:tc>
      </w:tr>
      <w:tr w:rsidR="005133B8" w:rsidRPr="005133B8" w:rsidTr="005133B8">
        <w:trPr>
          <w:trHeight w:val="8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8" w:rsidRPr="005133B8" w:rsidRDefault="005133B8" w:rsidP="001F3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Критерій якості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8" w:rsidRPr="005133B8" w:rsidRDefault="005133B8" w:rsidP="001F3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Вага (%)</w:t>
            </w:r>
          </w:p>
        </w:tc>
      </w:tr>
      <w:tr w:rsidR="005133B8" w:rsidRPr="005133B8" w:rsidTr="005133B8">
        <w:trPr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8" w:rsidRPr="005133B8" w:rsidRDefault="005133B8" w:rsidP="001F3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Зведена вартість сервісів з технічного обслуговування ІТ інфраструктури віддалених </w:t>
            </w:r>
            <w:r w:rsidR="00FD2834">
              <w:rPr>
                <w:rFonts w:ascii="Calibri" w:eastAsia="Times New Roman" w:hAnsi="Calibri" w:cs="Calibri"/>
                <w:color w:val="000000"/>
                <w:lang w:eastAsia="uk-UA"/>
              </w:rPr>
              <w:t>підрозділів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8" w:rsidRPr="005133B8" w:rsidRDefault="005133B8" w:rsidP="00130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30</w:t>
            </w:r>
          </w:p>
        </w:tc>
      </w:tr>
      <w:tr w:rsidR="005133B8" w:rsidRPr="005133B8" w:rsidTr="005133B8">
        <w:trPr>
          <w:trHeight w:val="9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8" w:rsidRPr="005133B8" w:rsidRDefault="005133B8" w:rsidP="001F3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Зведена вартість сервісу "</w:t>
            </w:r>
            <w:r w:rsidR="00FD2834"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Покопійна</w:t>
            </w: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оплата" друку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8" w:rsidRPr="005133B8" w:rsidRDefault="005133B8" w:rsidP="00130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30</w:t>
            </w:r>
          </w:p>
        </w:tc>
      </w:tr>
      <w:tr w:rsidR="005133B8" w:rsidRPr="005133B8" w:rsidTr="005133B8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8" w:rsidRPr="005133B8" w:rsidRDefault="005133B8" w:rsidP="001F3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Технічні можливості учасника (Відповідність учасника умовам тендерного запиту)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8" w:rsidRPr="005133B8" w:rsidRDefault="005133B8" w:rsidP="00130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</w:tr>
      <w:tr w:rsidR="005133B8" w:rsidRPr="005133B8" w:rsidTr="005133B8">
        <w:trPr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8" w:rsidRPr="005133B8" w:rsidRDefault="005133B8" w:rsidP="001F3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Фінансові умови співпраці (умови оплати, відтермінування платежів, штрафні санкції)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8" w:rsidRPr="005133B8" w:rsidRDefault="005133B8" w:rsidP="00130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</w:tr>
      <w:tr w:rsidR="005133B8" w:rsidRPr="005133B8" w:rsidTr="005133B8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8" w:rsidRPr="005133B8" w:rsidRDefault="005133B8" w:rsidP="001F36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Досвід співпраці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8" w:rsidRPr="005133B8" w:rsidRDefault="005133B8" w:rsidP="00130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133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</w:tbl>
    <w:p w:rsidR="005E2FB7" w:rsidRDefault="005E2FB7" w:rsidP="001F3690">
      <w:pPr>
        <w:ind w:left="1080"/>
        <w:jc w:val="both"/>
      </w:pPr>
    </w:p>
    <w:p w:rsidR="005E2FB7" w:rsidRPr="00FD2834" w:rsidRDefault="00627350" w:rsidP="001F3690">
      <w:pPr>
        <w:pStyle w:val="a3"/>
        <w:numPr>
          <w:ilvl w:val="0"/>
          <w:numId w:val="12"/>
        </w:numPr>
        <w:jc w:val="both"/>
        <w:rPr>
          <w:b/>
        </w:rPr>
      </w:pPr>
      <w:r w:rsidRPr="00FD2834">
        <w:rPr>
          <w:b/>
        </w:rPr>
        <w:t xml:space="preserve">Умови, яким має </w:t>
      </w:r>
      <w:r w:rsidR="00FD2834" w:rsidRPr="00FD2834">
        <w:rPr>
          <w:b/>
        </w:rPr>
        <w:t>задовольняти надавач пропозицій</w:t>
      </w:r>
    </w:p>
    <w:p w:rsidR="00627350" w:rsidRPr="00627350" w:rsidRDefault="00627350" w:rsidP="001F3690">
      <w:pPr>
        <w:pStyle w:val="a3"/>
        <w:numPr>
          <w:ilvl w:val="0"/>
          <w:numId w:val="4"/>
        </w:numPr>
        <w:jc w:val="both"/>
        <w:rPr>
          <w:vanish/>
        </w:rPr>
      </w:pPr>
    </w:p>
    <w:p w:rsidR="00627350" w:rsidRPr="00627350" w:rsidRDefault="00627350" w:rsidP="001F3690">
      <w:pPr>
        <w:pStyle w:val="a3"/>
        <w:numPr>
          <w:ilvl w:val="0"/>
          <w:numId w:val="4"/>
        </w:numPr>
        <w:jc w:val="both"/>
        <w:rPr>
          <w:vanish/>
        </w:rPr>
      </w:pPr>
    </w:p>
    <w:p w:rsidR="00627350" w:rsidRPr="00627350" w:rsidRDefault="00627350" w:rsidP="001F3690">
      <w:pPr>
        <w:pStyle w:val="a3"/>
        <w:numPr>
          <w:ilvl w:val="0"/>
          <w:numId w:val="4"/>
        </w:numPr>
        <w:jc w:val="both"/>
        <w:rPr>
          <w:vanish/>
        </w:rPr>
      </w:pPr>
    </w:p>
    <w:p w:rsidR="00627350" w:rsidRPr="00627350" w:rsidRDefault="00627350" w:rsidP="001F3690">
      <w:pPr>
        <w:pStyle w:val="a3"/>
        <w:numPr>
          <w:ilvl w:val="0"/>
          <w:numId w:val="4"/>
        </w:numPr>
        <w:jc w:val="both"/>
        <w:rPr>
          <w:vanish/>
        </w:rPr>
      </w:pPr>
    </w:p>
    <w:p w:rsidR="00627350" w:rsidRDefault="00627350" w:rsidP="001F3690">
      <w:pPr>
        <w:pStyle w:val="a3"/>
        <w:numPr>
          <w:ilvl w:val="1"/>
          <w:numId w:val="14"/>
        </w:numPr>
        <w:jc w:val="both"/>
      </w:pPr>
      <w:r>
        <w:t>досвід роботи у вказаному профілі не менше 3-х років;</w:t>
      </w:r>
    </w:p>
    <w:p w:rsidR="00627350" w:rsidRDefault="00627350" w:rsidP="001F3690">
      <w:pPr>
        <w:pStyle w:val="a3"/>
        <w:numPr>
          <w:ilvl w:val="1"/>
          <w:numId w:val="14"/>
        </w:numPr>
        <w:jc w:val="both"/>
      </w:pPr>
      <w:r>
        <w:t>наявність власних, або афільованих представництв у місцях, максимально наближених до об’єктів обслуговування</w:t>
      </w:r>
      <w:r w:rsidR="00607B89">
        <w:t xml:space="preserve"> (майданчиків)</w:t>
      </w:r>
      <w:r>
        <w:t xml:space="preserve">, згідно </w:t>
      </w:r>
      <w:r w:rsidRPr="00676720">
        <w:rPr>
          <w:b/>
        </w:rPr>
        <w:t>Додатку 1</w:t>
      </w:r>
      <w:r>
        <w:t>;</w:t>
      </w:r>
    </w:p>
    <w:p w:rsidR="00627350" w:rsidRDefault="00627350" w:rsidP="001F3690">
      <w:pPr>
        <w:pStyle w:val="a3"/>
        <w:numPr>
          <w:ilvl w:val="1"/>
          <w:numId w:val="14"/>
        </w:numPr>
        <w:jc w:val="both"/>
      </w:pPr>
      <w:r>
        <w:t>наявність єдиної точки входу для подачі та контролю виконання заявок;</w:t>
      </w:r>
    </w:p>
    <w:p w:rsidR="00627350" w:rsidRDefault="00627350" w:rsidP="001F3690">
      <w:pPr>
        <w:pStyle w:val="a3"/>
        <w:numPr>
          <w:ilvl w:val="1"/>
          <w:numId w:val="14"/>
        </w:numPr>
        <w:jc w:val="both"/>
      </w:pPr>
      <w:r>
        <w:t>наявність діючих договорів на аналогічних умовах з іншими компаніями.</w:t>
      </w:r>
    </w:p>
    <w:p w:rsidR="00627350" w:rsidRPr="00FD2834" w:rsidRDefault="00627350" w:rsidP="001F3690">
      <w:pPr>
        <w:pStyle w:val="a3"/>
        <w:numPr>
          <w:ilvl w:val="0"/>
          <w:numId w:val="12"/>
        </w:numPr>
        <w:jc w:val="both"/>
        <w:rPr>
          <w:b/>
        </w:rPr>
      </w:pPr>
      <w:r w:rsidRPr="00FD2834">
        <w:rPr>
          <w:b/>
        </w:rPr>
        <w:t xml:space="preserve">Перелік документів, які </w:t>
      </w:r>
      <w:r w:rsidR="00FD2834" w:rsidRPr="00FD2834">
        <w:rPr>
          <w:b/>
        </w:rPr>
        <w:t>мають бути надані в пропозиції</w:t>
      </w:r>
    </w:p>
    <w:p w:rsidR="00627350" w:rsidRDefault="00627350" w:rsidP="001F3690">
      <w:pPr>
        <w:pStyle w:val="a3"/>
        <w:numPr>
          <w:ilvl w:val="1"/>
          <w:numId w:val="15"/>
        </w:numPr>
        <w:jc w:val="both"/>
      </w:pPr>
      <w:r>
        <w:t>установчі документи компанії;</w:t>
      </w:r>
    </w:p>
    <w:p w:rsidR="00627350" w:rsidRDefault="00627350" w:rsidP="001F3690">
      <w:pPr>
        <w:pStyle w:val="a3"/>
        <w:numPr>
          <w:ilvl w:val="1"/>
          <w:numId w:val="15"/>
        </w:numPr>
        <w:jc w:val="both"/>
      </w:pPr>
      <w:r>
        <w:t>перелік представництв компанії на території України;</w:t>
      </w:r>
    </w:p>
    <w:p w:rsidR="00627350" w:rsidRDefault="00627350" w:rsidP="001F3690">
      <w:pPr>
        <w:pStyle w:val="a3"/>
        <w:numPr>
          <w:ilvl w:val="1"/>
          <w:numId w:val="15"/>
        </w:numPr>
        <w:jc w:val="both"/>
      </w:pPr>
      <w:r>
        <w:t>перелік компаній, з якими укладено договори на схожих умовах, якщо це не суперечить умовам договорів, або політикам компаній;</w:t>
      </w:r>
    </w:p>
    <w:p w:rsidR="00627350" w:rsidRDefault="00627350" w:rsidP="001F3690">
      <w:pPr>
        <w:pStyle w:val="a3"/>
        <w:numPr>
          <w:ilvl w:val="1"/>
          <w:numId w:val="15"/>
        </w:numPr>
        <w:jc w:val="both"/>
      </w:pPr>
      <w:r>
        <w:t>рекомендації компаній, з якими є, або була співпраця;</w:t>
      </w:r>
    </w:p>
    <w:p w:rsidR="00627350" w:rsidRDefault="00B73CC9" w:rsidP="001F3690">
      <w:pPr>
        <w:pStyle w:val="a3"/>
        <w:numPr>
          <w:ilvl w:val="1"/>
          <w:numId w:val="15"/>
        </w:numPr>
        <w:jc w:val="both"/>
      </w:pPr>
      <w:r>
        <w:t>проєкт Договору</w:t>
      </w:r>
      <w:r w:rsidR="00627350">
        <w:t xml:space="preserve"> загальний, або окремо на сервіс</w:t>
      </w:r>
      <w:r>
        <w:t>и</w:t>
      </w:r>
      <w:r w:rsidR="00627350">
        <w:t xml:space="preserve"> </w:t>
      </w:r>
      <w:r w:rsidR="00627350" w:rsidRPr="00130C10">
        <w:rPr>
          <w:b/>
        </w:rPr>
        <w:t>«Покопійна оплата»</w:t>
      </w:r>
      <w:r w:rsidR="00627350">
        <w:t xml:space="preserve"> та </w:t>
      </w:r>
      <w:r w:rsidR="00627350" w:rsidRPr="00130C10">
        <w:rPr>
          <w:b/>
        </w:rPr>
        <w:t xml:space="preserve">«Обслуговування ІТ інфраструктури </w:t>
      </w:r>
      <w:r w:rsidRPr="00130C10">
        <w:rPr>
          <w:b/>
        </w:rPr>
        <w:t>без «Покопійної оплати»»</w:t>
      </w:r>
    </w:p>
    <w:p w:rsidR="00627350" w:rsidRDefault="00627350" w:rsidP="001F3690">
      <w:pPr>
        <w:pStyle w:val="a3"/>
        <w:numPr>
          <w:ilvl w:val="1"/>
          <w:numId w:val="15"/>
        </w:numPr>
        <w:jc w:val="both"/>
      </w:pPr>
      <w:r>
        <w:t xml:space="preserve">розгорнута таблиця умов та цін на замовлений сервіс, згідно </w:t>
      </w:r>
      <w:r w:rsidRPr="00B73CC9">
        <w:rPr>
          <w:b/>
        </w:rPr>
        <w:t>п.1</w:t>
      </w:r>
      <w:r>
        <w:t xml:space="preserve"> та </w:t>
      </w:r>
      <w:r w:rsidRPr="00F35007">
        <w:rPr>
          <w:b/>
        </w:rPr>
        <w:t>Додатку 2</w:t>
      </w:r>
      <w:r>
        <w:t>.  Кількість варіантів не обмежена, але основний варіант вписати в таблиці (</w:t>
      </w:r>
      <w:r w:rsidRPr="00676720">
        <w:rPr>
          <w:b/>
        </w:rPr>
        <w:t>Додаток 3</w:t>
      </w:r>
      <w:r>
        <w:t>);</w:t>
      </w:r>
    </w:p>
    <w:p w:rsidR="00B73CC9" w:rsidRPr="00B73CC9" w:rsidRDefault="00627350" w:rsidP="001F3690">
      <w:pPr>
        <w:pStyle w:val="a3"/>
        <w:numPr>
          <w:ilvl w:val="1"/>
          <w:numId w:val="15"/>
        </w:numPr>
        <w:jc w:val="both"/>
      </w:pPr>
      <w:r>
        <w:t xml:space="preserve">згода на надання інформації </w:t>
      </w:r>
      <w:r w:rsidR="00B73CC9">
        <w:t xml:space="preserve">(персональних даних) </w:t>
      </w:r>
      <w:r>
        <w:t>про виконавців робіт за заявками Банку для проведення перевірок службою Безпеки Банку.</w:t>
      </w:r>
    </w:p>
    <w:sectPr w:rsidR="00B73CC9" w:rsidRPr="00B73CC9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E0" w:rsidRDefault="003174E0" w:rsidP="00791BFF">
      <w:pPr>
        <w:spacing w:after="0" w:line="240" w:lineRule="auto"/>
      </w:pPr>
      <w:r>
        <w:separator/>
      </w:r>
    </w:p>
  </w:endnote>
  <w:endnote w:type="continuationSeparator" w:id="0">
    <w:p w:rsidR="003174E0" w:rsidRDefault="003174E0" w:rsidP="0079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257444"/>
      <w:docPartObj>
        <w:docPartGallery w:val="Page Numbers (Bottom of Page)"/>
        <w:docPartUnique/>
      </w:docPartObj>
    </w:sdtPr>
    <w:sdtEndPr/>
    <w:sdtContent>
      <w:p w:rsidR="00791BFF" w:rsidRDefault="00791B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31">
          <w:rPr>
            <w:noProof/>
          </w:rPr>
          <w:t>4</w:t>
        </w:r>
        <w:r>
          <w:fldChar w:fldCharType="end"/>
        </w:r>
      </w:p>
    </w:sdtContent>
  </w:sdt>
  <w:p w:rsidR="00791BFF" w:rsidRDefault="00791B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E0" w:rsidRDefault="003174E0" w:rsidP="00791BFF">
      <w:pPr>
        <w:spacing w:after="0" w:line="240" w:lineRule="auto"/>
      </w:pPr>
      <w:r>
        <w:separator/>
      </w:r>
    </w:p>
  </w:footnote>
  <w:footnote w:type="continuationSeparator" w:id="0">
    <w:p w:rsidR="003174E0" w:rsidRDefault="003174E0" w:rsidP="0079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90" w:rsidRDefault="001F3690" w:rsidP="001708AD">
    <w:pPr>
      <w:pStyle w:val="a4"/>
      <w:spacing w:after="240"/>
      <w:jc w:val="center"/>
    </w:pPr>
    <w:r>
      <w:t xml:space="preserve"> «Обслуговування ІТ інфраструктури віддалених підрозділів Банку»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604"/>
    <w:multiLevelType w:val="multilevel"/>
    <w:tmpl w:val="CEFE9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C4528D2"/>
    <w:multiLevelType w:val="hybridMultilevel"/>
    <w:tmpl w:val="9432E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7FE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E07E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155AC7"/>
    <w:multiLevelType w:val="multilevel"/>
    <w:tmpl w:val="4CE0C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CEA1C8D"/>
    <w:multiLevelType w:val="hybridMultilevel"/>
    <w:tmpl w:val="F942E1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411D"/>
    <w:multiLevelType w:val="hybridMultilevel"/>
    <w:tmpl w:val="903CCBE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6CA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8F36E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2A292D"/>
    <w:multiLevelType w:val="multilevel"/>
    <w:tmpl w:val="D8C6B5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61344BB0"/>
    <w:multiLevelType w:val="multilevel"/>
    <w:tmpl w:val="CEFE9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3D77D39"/>
    <w:multiLevelType w:val="multilevel"/>
    <w:tmpl w:val="50785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4D16E0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BE5D7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061F35"/>
    <w:multiLevelType w:val="multilevel"/>
    <w:tmpl w:val="D5B62E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7C9414B3"/>
    <w:multiLevelType w:val="multilevel"/>
    <w:tmpl w:val="A89CF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4"/>
    <w:rsid w:val="000519EE"/>
    <w:rsid w:val="001014CE"/>
    <w:rsid w:val="00130C10"/>
    <w:rsid w:val="00141FC6"/>
    <w:rsid w:val="001708AD"/>
    <w:rsid w:val="001F3690"/>
    <w:rsid w:val="002166E2"/>
    <w:rsid w:val="00222F36"/>
    <w:rsid w:val="0024332B"/>
    <w:rsid w:val="002F51FA"/>
    <w:rsid w:val="003174E0"/>
    <w:rsid w:val="00344AEA"/>
    <w:rsid w:val="004209E0"/>
    <w:rsid w:val="00447AB5"/>
    <w:rsid w:val="005133B8"/>
    <w:rsid w:val="00553120"/>
    <w:rsid w:val="005E2FB7"/>
    <w:rsid w:val="00607B89"/>
    <w:rsid w:val="00627350"/>
    <w:rsid w:val="0068435A"/>
    <w:rsid w:val="006B3831"/>
    <w:rsid w:val="007721B0"/>
    <w:rsid w:val="00791BFF"/>
    <w:rsid w:val="007E5414"/>
    <w:rsid w:val="00892F42"/>
    <w:rsid w:val="008B6771"/>
    <w:rsid w:val="008F6A44"/>
    <w:rsid w:val="009013DC"/>
    <w:rsid w:val="00917059"/>
    <w:rsid w:val="009633E0"/>
    <w:rsid w:val="009D374E"/>
    <w:rsid w:val="009E1FD5"/>
    <w:rsid w:val="00A07923"/>
    <w:rsid w:val="00A56CE5"/>
    <w:rsid w:val="00B73CC9"/>
    <w:rsid w:val="00BA1357"/>
    <w:rsid w:val="00BA1D46"/>
    <w:rsid w:val="00BC6B20"/>
    <w:rsid w:val="00C47EB2"/>
    <w:rsid w:val="00C52951"/>
    <w:rsid w:val="00C91886"/>
    <w:rsid w:val="00CD210A"/>
    <w:rsid w:val="00CD6095"/>
    <w:rsid w:val="00DA4514"/>
    <w:rsid w:val="00E04499"/>
    <w:rsid w:val="00E068BF"/>
    <w:rsid w:val="00E20DCA"/>
    <w:rsid w:val="00E5648B"/>
    <w:rsid w:val="00E60DE2"/>
    <w:rsid w:val="00E71E52"/>
    <w:rsid w:val="00E94460"/>
    <w:rsid w:val="00EB75BD"/>
    <w:rsid w:val="00EC3AD1"/>
    <w:rsid w:val="00FC35E5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6FA21E-FF3E-4D66-9AE8-2130683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BFF"/>
  </w:style>
  <w:style w:type="paragraph" w:styleId="a6">
    <w:name w:val="footer"/>
    <w:basedOn w:val="a"/>
    <w:link w:val="a7"/>
    <w:uiPriority w:val="99"/>
    <w:unhideWhenUsed/>
    <w:rsid w:val="00791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BFF"/>
  </w:style>
  <w:style w:type="character" w:customStyle="1" w:styleId="10">
    <w:name w:val="Заголовок 1 Знак"/>
    <w:basedOn w:val="a0"/>
    <w:link w:val="1"/>
    <w:uiPriority w:val="9"/>
    <w:rsid w:val="00791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791BFF"/>
    <w:pPr>
      <w:outlineLvl w:val="9"/>
    </w:pPr>
    <w:rPr>
      <w:lang w:eastAsia="uk-UA"/>
    </w:rPr>
  </w:style>
  <w:style w:type="character" w:styleId="a9">
    <w:name w:val="Hyperlink"/>
    <w:basedOn w:val="a0"/>
    <w:uiPriority w:val="99"/>
    <w:unhideWhenUsed/>
    <w:rsid w:val="00C52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urdachenko@creditdne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3776-0FB2-4830-8E61-E4225F94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5285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Ванькевич Василий Васильевич</dc:creator>
  <cp:keywords/>
  <dc:description/>
  <cp:lastModifiedBy>Курдаченко Ольга Альбертовна</cp:lastModifiedBy>
  <cp:revision>12</cp:revision>
  <dcterms:created xsi:type="dcterms:W3CDTF">2021-10-08T09:24:00Z</dcterms:created>
  <dcterms:modified xsi:type="dcterms:W3CDTF">2021-11-01T07:34:00Z</dcterms:modified>
</cp:coreProperties>
</file>