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AF6F2" w14:textId="29CB5D7D" w:rsidR="00514170" w:rsidRPr="0081046C" w:rsidRDefault="00514170" w:rsidP="0081046C">
      <w:pPr>
        <w:jc w:val="both"/>
        <w:rPr>
          <w:rFonts w:ascii="Times New Roman" w:hAnsi="Times New Roman" w:cs="Times New Roman"/>
          <w:sz w:val="24"/>
          <w:szCs w:val="24"/>
          <w:lang w:val="uk-UA"/>
        </w:rPr>
      </w:pPr>
      <w:bookmarkStart w:id="0" w:name="_GoBack"/>
      <w:bookmarkEnd w:id="0"/>
      <w:r w:rsidRPr="0081046C">
        <w:rPr>
          <w:rFonts w:ascii="Times New Roman" w:hAnsi="Times New Roman" w:cs="Times New Roman"/>
          <w:sz w:val="24"/>
          <w:szCs w:val="24"/>
          <w:lang w:val="uk-UA"/>
        </w:rPr>
        <w:t xml:space="preserve">Наглядова рада ПРИВАТНОГО АКЦІОНЕРНОГО ТОВАРИСТВА «КОМБІНАТ «ПРИДНІПРОВСЬКИЙ» (далі – «Товариство») ідентифікаційний код за ЄДРПОУ 01528186, місцезнаходження: 49000, м. Дніпро, вул. Журналістів, буд. 15, повідомляє про проведення </w:t>
      </w:r>
      <w:r w:rsidR="00054A38" w:rsidRPr="0081046C">
        <w:rPr>
          <w:rFonts w:ascii="Times New Roman" w:hAnsi="Times New Roman" w:cs="Times New Roman"/>
          <w:sz w:val="24"/>
          <w:szCs w:val="24"/>
          <w:lang w:val="uk-UA"/>
        </w:rPr>
        <w:t>річних</w:t>
      </w:r>
      <w:r w:rsidRPr="0081046C">
        <w:rPr>
          <w:rFonts w:ascii="Times New Roman" w:hAnsi="Times New Roman" w:cs="Times New Roman"/>
          <w:sz w:val="24"/>
          <w:szCs w:val="24"/>
          <w:lang w:val="uk-UA"/>
        </w:rPr>
        <w:t xml:space="preserve"> загальних зборів Товариства, які відбудуться дистанційно </w:t>
      </w:r>
      <w:r w:rsidR="00EC5236" w:rsidRPr="0081046C">
        <w:rPr>
          <w:rFonts w:ascii="Times New Roman" w:hAnsi="Times New Roman" w:cs="Times New Roman"/>
          <w:sz w:val="24"/>
          <w:szCs w:val="24"/>
          <w:lang w:val="uk-UA"/>
        </w:rPr>
        <w:t>23</w:t>
      </w:r>
      <w:r w:rsidRPr="0081046C">
        <w:rPr>
          <w:rFonts w:ascii="Times New Roman" w:hAnsi="Times New Roman" w:cs="Times New Roman"/>
          <w:sz w:val="24"/>
          <w:szCs w:val="24"/>
          <w:lang w:val="uk-UA"/>
        </w:rPr>
        <w:t>.</w:t>
      </w:r>
      <w:r w:rsidR="00EC5236" w:rsidRPr="0081046C">
        <w:rPr>
          <w:rFonts w:ascii="Times New Roman" w:hAnsi="Times New Roman" w:cs="Times New Roman"/>
          <w:sz w:val="24"/>
          <w:szCs w:val="24"/>
          <w:lang w:val="uk-UA"/>
        </w:rPr>
        <w:t>12</w:t>
      </w:r>
      <w:r w:rsidRPr="0081046C">
        <w:rPr>
          <w:rFonts w:ascii="Times New Roman" w:hAnsi="Times New Roman" w:cs="Times New Roman"/>
          <w:sz w:val="24"/>
          <w:szCs w:val="24"/>
          <w:lang w:val="uk-UA"/>
        </w:rPr>
        <w:t xml:space="preserve">.2022р. </w:t>
      </w:r>
    </w:p>
    <w:p w14:paraId="7F04AF44" w14:textId="0819CE07" w:rsidR="00514170"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Рішення про скликання чергових Загальних зборів акціонерів Товариства (надалі – Загальні збори) та їх дистанційне проведення було прийнято Наглядовою радою Товариства, </w:t>
      </w:r>
      <w:bookmarkStart w:id="1" w:name="_Hlk118729321"/>
      <w:r w:rsidRPr="00EC5236">
        <w:rPr>
          <w:rFonts w:ascii="Times New Roman" w:hAnsi="Times New Roman" w:cs="Times New Roman"/>
          <w:sz w:val="24"/>
          <w:szCs w:val="24"/>
          <w:lang w:val="uk-UA"/>
        </w:rPr>
        <w:t xml:space="preserve">відповідно до Закону України «Про акціонерні товариства», керуючись Тимчасовим порядком скликання та дистанційного проведення загальних зборів акціонерів </w:t>
      </w:r>
      <w:r w:rsidR="00686C47" w:rsidRPr="00EC5236">
        <w:rPr>
          <w:rFonts w:ascii="Times New Roman" w:hAnsi="Times New Roman" w:cs="Times New Roman"/>
          <w:sz w:val="24"/>
          <w:szCs w:val="24"/>
          <w:lang w:val="uk-UA"/>
        </w:rPr>
        <w:t xml:space="preserve">та загальних зборів </w:t>
      </w:r>
      <w:r w:rsidRPr="00EC5236">
        <w:rPr>
          <w:rFonts w:ascii="Times New Roman" w:hAnsi="Times New Roman" w:cs="Times New Roman"/>
          <w:sz w:val="24"/>
          <w:szCs w:val="24"/>
          <w:lang w:val="uk-UA"/>
        </w:rPr>
        <w:t>учасників корпоративного інвестиційного фонду, затвердженим рішенням Національної комісії з цінних паперів та фондового ринку від 16.04.2020 №196 (далі – Тимчасовий порядок), у зв’язку з введенням на території України воєнного стану, згідно з Указом Президента України від 24.02.2022 №64/2022 «Про запровадження військового стану в Україні», затвердженого Законом України від 24.02.2022 № 2102-ІХ (із змінами, внесеними Указом Президента України від 14.03.2022 № 133/2022, затвердженим Законом України від 15.03.2022 № 2119-IX, Указом Президента України від 17.05.2022 № 341/2022, затвердженим Законом України № 2263-IX від 22.05.2022)</w:t>
      </w:r>
      <w:bookmarkEnd w:id="1"/>
      <w:r w:rsidRPr="00EC5236">
        <w:rPr>
          <w:rFonts w:ascii="Times New Roman" w:hAnsi="Times New Roman" w:cs="Times New Roman"/>
          <w:sz w:val="24"/>
          <w:szCs w:val="24"/>
          <w:lang w:val="uk-UA"/>
        </w:rPr>
        <w:t xml:space="preserve">. </w:t>
      </w:r>
    </w:p>
    <w:p w14:paraId="4A444B0F" w14:textId="2F8A8506" w:rsidR="00514170" w:rsidRPr="00EC5236" w:rsidRDefault="00EC5236" w:rsidP="0069215B">
      <w:pPr>
        <w:pStyle w:val="a5"/>
        <w:jc w:val="both"/>
        <w:rPr>
          <w:rFonts w:ascii="Times New Roman" w:hAnsi="Times New Roman" w:cs="Times New Roman"/>
          <w:sz w:val="24"/>
          <w:szCs w:val="24"/>
          <w:lang w:val="uk-UA"/>
        </w:rPr>
      </w:pPr>
      <w:bookmarkStart w:id="2" w:name="_Hlk118729485"/>
      <w:r w:rsidRPr="00EC5236">
        <w:rPr>
          <w:rFonts w:ascii="Times New Roman" w:hAnsi="Times New Roman" w:cs="Times New Roman"/>
          <w:sz w:val="24"/>
          <w:szCs w:val="24"/>
          <w:lang w:val="uk-UA"/>
        </w:rPr>
        <w:t>12.12.2022 - дата розміщення бюлетеня для голосування (щодо питань порядку денного, крім обрання органів товариства) у вільному для акціонерів доступі на власному веб-сайті ПрАТ «Комбінат «Придніпровський» http://zlagoda.emitinfo.com у розділі «Загальні збори» - «Документи загальних зборів» - бюлетень для голосування.</w:t>
      </w:r>
      <w:r w:rsidR="00514170" w:rsidRPr="00EC5236">
        <w:rPr>
          <w:rFonts w:ascii="Times New Roman" w:hAnsi="Times New Roman" w:cs="Times New Roman"/>
          <w:sz w:val="24"/>
          <w:szCs w:val="24"/>
          <w:lang w:val="uk-UA"/>
        </w:rPr>
        <w:t>.</w:t>
      </w:r>
    </w:p>
    <w:bookmarkEnd w:id="2"/>
    <w:p w14:paraId="6679C2F0" w14:textId="77777777" w:rsidR="00EC5236" w:rsidRPr="00EC5236" w:rsidRDefault="00EC5236" w:rsidP="00EC5236">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23.12.2022 - дата проведення дистанційних Загальних зборів (дата завершення голосування - остання дата отримання від акціонерів бюлетенів для голосування). </w:t>
      </w:r>
    </w:p>
    <w:p w14:paraId="146C46F4" w14:textId="19D97F8C" w:rsidR="00352334" w:rsidRPr="00EC5236" w:rsidRDefault="00EC5236" w:rsidP="00EC5236">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Датою складання переліку акціонерів, які мають право на участь у Загальних зборах є 24:00 год. 19.12.2022/</w:t>
      </w:r>
    </w:p>
    <w:p w14:paraId="47FEE2F1" w14:textId="77777777" w:rsidR="00EC5236" w:rsidRPr="00EC5236" w:rsidRDefault="00EC5236" w:rsidP="00EC5236">
      <w:pPr>
        <w:pStyle w:val="a5"/>
        <w:jc w:val="both"/>
        <w:rPr>
          <w:rFonts w:ascii="Times New Roman" w:hAnsi="Times New Roman" w:cs="Times New Roman"/>
          <w:sz w:val="24"/>
          <w:szCs w:val="24"/>
          <w:lang w:val="uk-UA"/>
        </w:rPr>
      </w:pPr>
    </w:p>
    <w:p w14:paraId="4DF3E37D" w14:textId="77777777" w:rsidR="00352334" w:rsidRPr="00EC5236" w:rsidRDefault="00352334" w:rsidP="0069215B">
      <w:pPr>
        <w:pStyle w:val="a5"/>
        <w:jc w:val="both"/>
        <w:rPr>
          <w:rFonts w:ascii="Times New Roman" w:eastAsia="Times New Roman" w:hAnsi="Times New Roman" w:cs="Times New Roman"/>
          <w:b/>
          <w:bCs/>
          <w:sz w:val="24"/>
          <w:szCs w:val="24"/>
          <w:lang w:val="uk-UA" w:eastAsia="zh-CN"/>
        </w:rPr>
      </w:pPr>
      <w:r w:rsidRPr="00EC5236">
        <w:rPr>
          <w:rFonts w:ascii="Times New Roman" w:eastAsia="Times New Roman" w:hAnsi="Times New Roman" w:cs="Times New Roman"/>
          <w:b/>
          <w:bCs/>
          <w:sz w:val="24"/>
          <w:szCs w:val="24"/>
          <w:lang w:val="uk-UA" w:eastAsia="zh-CN"/>
        </w:rPr>
        <w:t>Перелік питань включених до проекту порядку денного:</w:t>
      </w:r>
    </w:p>
    <w:p w14:paraId="44E0F6F3"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Затвердження звіту Наглядової ради Товариства за результатами діяльності у 2021 році. Прийняття рішення за наслідками розгляду звіту Наглядової ради Товариства.</w:t>
      </w:r>
    </w:p>
    <w:p w14:paraId="056E93F5"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Затвердити звіт Наглядової ради Товариства за результатами діяльності у 2021 році.</w:t>
      </w:r>
    </w:p>
    <w:p w14:paraId="7E2EE302"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2.</w:t>
      </w:r>
      <w:r w:rsidRPr="00EC5236">
        <w:rPr>
          <w:rFonts w:ascii="Times New Roman" w:eastAsia="Times New Roman" w:hAnsi="Times New Roman" w:cs="Times New Roman"/>
          <w:color w:val="00000A"/>
          <w:sz w:val="24"/>
          <w:szCs w:val="24"/>
          <w:lang w:val="uk-UA"/>
        </w:rPr>
        <w:tab/>
        <w:t>Затвердження звіту Правління Товариства за результатами діяльності у 2021 році. Прийняття рішення за наслідками розгляду звіту Правління Товариства.</w:t>
      </w:r>
    </w:p>
    <w:p w14:paraId="67C7CF17"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Затвердити звіт Правління Товариства за результатами діяльності у 2021 році.</w:t>
      </w:r>
    </w:p>
    <w:p w14:paraId="77609FDC"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3.</w:t>
      </w:r>
      <w:r w:rsidRPr="00EC5236">
        <w:rPr>
          <w:rFonts w:ascii="Times New Roman" w:eastAsia="Times New Roman" w:hAnsi="Times New Roman" w:cs="Times New Roman"/>
          <w:color w:val="00000A"/>
          <w:sz w:val="24"/>
          <w:szCs w:val="24"/>
          <w:lang w:val="uk-UA"/>
        </w:rPr>
        <w:tab/>
        <w:t>Затвердження звіту та висновків Ревізійної комісії за результатами діяльності у 2021 році. Прийняття рішення за наслідками розгляду звіту та висновків Ревізійної комісії Товариства.</w:t>
      </w:r>
    </w:p>
    <w:p w14:paraId="50E1BA73"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Затвердити звіт та висновки Ревізійної комісії Товариства за результатами діяльності у 2021 році.</w:t>
      </w:r>
    </w:p>
    <w:p w14:paraId="7EBAAD9B"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4.</w:t>
      </w:r>
      <w:r w:rsidRPr="00EC5236">
        <w:rPr>
          <w:rFonts w:ascii="Times New Roman" w:eastAsia="Times New Roman" w:hAnsi="Times New Roman" w:cs="Times New Roman"/>
          <w:color w:val="00000A"/>
          <w:sz w:val="24"/>
          <w:szCs w:val="24"/>
          <w:lang w:val="uk-UA"/>
        </w:rPr>
        <w:tab/>
        <w:t>Затвердження річного звіту Товариства за результатами діяльності у 2021 році.</w:t>
      </w:r>
    </w:p>
    <w:p w14:paraId="5AA31FB9"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Затвердити річний звіт Товариства, у тому числі річну фінансову звітність Товариства за результатами діяльності у 2021 році.</w:t>
      </w:r>
    </w:p>
    <w:p w14:paraId="3F04E555"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5.</w:t>
      </w:r>
      <w:r w:rsidRPr="00EC5236">
        <w:rPr>
          <w:rFonts w:ascii="Times New Roman" w:eastAsia="Times New Roman" w:hAnsi="Times New Roman" w:cs="Times New Roman"/>
          <w:color w:val="00000A"/>
          <w:sz w:val="24"/>
          <w:szCs w:val="24"/>
          <w:lang w:val="uk-UA"/>
        </w:rPr>
        <w:tab/>
        <w:t>Розподіл прибутку і збитків Товариства за результатами діяльності Товариства у 2021 році. Затвердження розміру річних дивідендів.</w:t>
      </w:r>
    </w:p>
    <w:p w14:paraId="39DEC1A6"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Затвердити наступний порядок розподілу прибутку Товариства за результатами діяльності Товариства у 2021 році:</w:t>
      </w:r>
    </w:p>
    <w:p w14:paraId="31B7D9FE"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 xml:space="preserve">1. Направити на розвиток Товариства 65,667 млн. грн. з урахуванням нерозподіленого прибутку інших років </w:t>
      </w:r>
    </w:p>
    <w:p w14:paraId="7532B332"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2. Направити на оздоровлення, благодійність, утримання медпункту та інше — 6,204 млн. грн.</w:t>
      </w:r>
    </w:p>
    <w:p w14:paraId="351181C5"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3. Направити на виплату дивідендів власникам простих акцій — 4.340 млн. грн.</w:t>
      </w:r>
    </w:p>
    <w:p w14:paraId="7BAC3F19"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Розмір дивідендів на 1 просту іменну акцію складає 0.62 грн. Виплата дивідендів здійснюється в строк, що не перевищує шести місяців з дня прийняття загальними зборами рішення про виплату дивідендів.  Дата складання переліку осіб, які мають право на отримання дивідендів, порядок та строк їх виплати встановлюються Наглядовою радою.</w:t>
      </w:r>
    </w:p>
    <w:p w14:paraId="19FDAECD"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 xml:space="preserve">Виплату дивідендів здійснити: </w:t>
      </w:r>
    </w:p>
    <w:p w14:paraId="3427A6BF"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 xml:space="preserve">акціонерам товариства фізичним особам через касу Товариства; </w:t>
      </w:r>
    </w:p>
    <w:p w14:paraId="7034B0AB"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акціонерам товариства юридичним особам на розрахунковий рахунок в банківській установі.</w:t>
      </w:r>
    </w:p>
    <w:p w14:paraId="306A94AC"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p>
    <w:p w14:paraId="03D64A67"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lastRenderedPageBreak/>
        <w:t>6. Про схвалення значних правочинів, ринкова вартість майна та/або послуг, що може бути їх предметом перевищує 25 відсотків вартості активів Товариства за даними річної фінансової звітності Товариства за 2021рік, які вчинялися Товариством.</w:t>
      </w:r>
    </w:p>
    <w:p w14:paraId="4EF10292"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Схвалити правочини здійснені Товариством протягом 2022 року, які перевищують 25 відсотків вартості активів Товариства за даними річної фінансової звітності Товариства за 2021рік:</w:t>
      </w:r>
    </w:p>
    <w:p w14:paraId="0EFC7AE0"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ТОВ”АТБ-МАРКЕТ” приблизна сума обороту за рік 1 734 млн.грн</w:t>
      </w:r>
    </w:p>
    <w:p w14:paraId="0702A311"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ТОВ “Омега” приблизна сума обороту за рік 117 млн.грн</w:t>
      </w:r>
    </w:p>
    <w:p w14:paraId="0B3685CA"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ПП “Ланна-Агро” приблизна сума обороту за рік 124 млн.грн</w:t>
      </w:r>
    </w:p>
    <w:p w14:paraId="45B75C37"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ТОВ "МВК "ЄКАТЕРИНОСЛАВСЬКИЙ" приблизна сума обороту за рік 120 млн.грн</w:t>
      </w:r>
    </w:p>
    <w:p w14:paraId="26598EE9"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p>
    <w:p w14:paraId="54CC4DD2"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7.  Про попереднє надання згоди на вчинення значних правочинів, ринкова вартість майна та/або послуг, що може бути їх предметом перевищує 25 відсотків вартості активів Товариства за даними річної фінансової звітності Товариства за 2021 рік, які можуть вчинятися Товариством протягом 2023р.</w:t>
      </w:r>
    </w:p>
    <w:p w14:paraId="3CD24E93"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Проект рішення: На підставі ч. З ст. 70 Закону України «Про акціонерні товариства» затвердити рішення про попереднє надання згоди на вчинення значних правочинів, які пов'язані в тому числі, але не обмежуючись, з укладанням договорів, угод, контрактів поставки, купівлі-продажу, кредитування, договорів про внесення змін до діючих договорів поставки, купівлі-продажу, кредитування, забезпечення (іпотеки, застави, поруки) за власними зобов'язаннями Товариства та зобов'язаннями третіх осіб, отримання гарантій та акредитивів, продовження строків, термінів дії, перегляд істотних умов таких правочинів, які можуть вчинятися Товариством протягом не більш як одного року з дати прийняття такого рішення, ринкова вартість робіт та/або послуг яких перевищує 25 відсотків вартості активів Товариства за даними річної фінансової звітності за 2021 рік, а саме:</w:t>
      </w:r>
    </w:p>
    <w:p w14:paraId="6B1D3CB5"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по збуту власної продукції, виконанню Товариством робіт і наданню ним послуг третім особам, - вартість кожного правочину не повинна перевищувати суму 2 000 млн. грн. Гранична сукупна вартість вказаних правочинів не повинна перевищувати загальну суму 3000 млн. грн.;</w:t>
      </w:r>
    </w:p>
    <w:p w14:paraId="5BAEEDC1"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по модернізації виробництва та придбання активів - вартість кожного правочину не повинна перевищувати суму 200 млн. грн. Гранична сукупна вартість вказаних правочинів не повинна перевищувати загальну суму 300 млн. грн.;</w:t>
      </w:r>
    </w:p>
    <w:p w14:paraId="60E3E4A5"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по придбанню та відчуженню Товариством оборотних засобів, включаючи сировину, паливо, матеріали, енергоресурси, товари та інше майно, - вартість кожного правочину не повинна перевищувати суму 300 млн. грн. Гранична сукупна вартість вказаних правочинів не повинна перевищувати 2500 млн. гри.;</w:t>
      </w:r>
    </w:p>
    <w:p w14:paraId="21C77E7C"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направлених на отримання фінансування поточної діяльності Товариства шляхом залучення грошових коштів (договори позики, кредитні договори, договори про зміну до них та ін.), - вартість кожного правочину не повинна перевищувати суму 50 млн. грн. Гранична сукупна вартість вказаних правочинів не повинна перевищувати 100 млн. грн.;</w:t>
      </w:r>
    </w:p>
    <w:p w14:paraId="7D4C2E24"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по забезпеченню виконання Товариством своїх зобов'язань за укладеними договорами (договори застави, поруки, договори страхування та інші, а також договори про внесення змін до цих договорів), - вартість кожного правочину не повинна перевищувати суму 10 млн. грн. Гранична сукупна вартість вказаних правочинів не повинна перевищувати 50 млн. грн.;</w:t>
      </w:r>
    </w:p>
    <w:p w14:paraId="6E9305C6"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на залучення Товариством, його філією грошових коштів на здійснення документарних операцій (гарантій, акредитивів та ін.), - вартість кожного правочину не повинна перевищувати суму 50 млн. грн. Гранична сукупна вартість вказаних правочинів не повинна перевищувати 100 млн. грн.;</w:t>
      </w:r>
    </w:p>
    <w:p w14:paraId="19516FF3"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w:t>
      </w:r>
      <w:r w:rsidRPr="00EC5236">
        <w:rPr>
          <w:rFonts w:ascii="Times New Roman" w:eastAsia="Times New Roman" w:hAnsi="Times New Roman" w:cs="Times New Roman"/>
          <w:color w:val="00000A"/>
          <w:sz w:val="24"/>
          <w:szCs w:val="24"/>
          <w:lang w:val="uk-UA"/>
        </w:rPr>
        <w:tab/>
        <w:t>правочинів на залучення Товариством грошових коштів на здійснення документарних операцій (гарантій, акредитивів та ін.), - вартість кожного правочину не повинна перевищувати суму 50 млн. грн. Гранична сукупна вартість вказаних правочинів не повинна перевищувати 100 млн. грн.</w:t>
      </w:r>
    </w:p>
    <w:p w14:paraId="644069DC"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 xml:space="preserve">Надати повноваження Голові Правління Товариства, особі яка його заміщає, та/або уповноваженій ним особі на власний розсуд укладати та підписувати, виходячи з економічної доцільності, визначити істотні та всі інші умови договорів поставки, купівлі-продажу, кредитування, документарних операцій (гарантій, акредитивів та ін.), договорів про внесення </w:t>
      </w:r>
      <w:r w:rsidRPr="00EC5236">
        <w:rPr>
          <w:rFonts w:ascii="Times New Roman" w:eastAsia="Times New Roman" w:hAnsi="Times New Roman" w:cs="Times New Roman"/>
          <w:color w:val="00000A"/>
          <w:sz w:val="24"/>
          <w:szCs w:val="24"/>
          <w:lang w:val="uk-UA"/>
        </w:rPr>
        <w:lastRenderedPageBreak/>
        <w:t>усіх змін (доповнень), які виникнуть на підставі них у майбутньому з метою забезпечення виконання зобов'язань Товариства, та/або зобов'язань третіх осіб, на умовах йому відомих та укладення і підписання договорів про розірвання усіх вищезазначених договорів за власними зобов'язаннями та зобов'язаннями третіх осіб, підписувати від імені Товариства такі договори.</w:t>
      </w:r>
    </w:p>
    <w:p w14:paraId="1629F9B0"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Правочини, на вчинення яких Загальними зборами надано попереднє схвалення, вчиняються (укладаються договори, угоди, контракти у кінцевій редакції) у відповідності до Статуту Товариства та чинного законодавства.</w:t>
      </w:r>
    </w:p>
    <w:p w14:paraId="635C8377" w14:textId="77777777" w:rsidR="00EC5236" w:rsidRPr="00EC5236" w:rsidRDefault="00EC5236" w:rsidP="00EC5236">
      <w:pPr>
        <w:pStyle w:val="a5"/>
        <w:jc w:val="both"/>
        <w:rPr>
          <w:rFonts w:ascii="Times New Roman" w:eastAsia="Times New Roman" w:hAnsi="Times New Roman" w:cs="Times New Roman"/>
          <w:color w:val="00000A"/>
          <w:sz w:val="24"/>
          <w:szCs w:val="24"/>
          <w:lang w:val="uk-UA"/>
        </w:rPr>
      </w:pPr>
      <w:r w:rsidRPr="00EC5236">
        <w:rPr>
          <w:rFonts w:ascii="Times New Roman" w:eastAsia="Times New Roman" w:hAnsi="Times New Roman" w:cs="Times New Roman"/>
          <w:color w:val="00000A"/>
          <w:sz w:val="24"/>
          <w:szCs w:val="24"/>
          <w:lang w:val="uk-UA"/>
        </w:rPr>
        <w:t>Для укладення та виконання значних правочинів, попереднє надання згоди на вчинення яких затверджено Загальними зборами відповідно до цього рішення, не вимагається прийняття будь-якого додаткового рішення Загальними зборами акціонерів або іншим органом управління Товариства протягом одного року.</w:t>
      </w:r>
    </w:p>
    <w:p w14:paraId="05A689B8" w14:textId="60FE1AC1" w:rsidR="00352334" w:rsidRPr="00EC5236" w:rsidRDefault="00352334" w:rsidP="0069215B">
      <w:pPr>
        <w:pStyle w:val="a5"/>
        <w:jc w:val="both"/>
        <w:rPr>
          <w:rFonts w:ascii="Times New Roman" w:hAnsi="Times New Roman" w:cs="Times New Roman"/>
          <w:sz w:val="24"/>
          <w:szCs w:val="24"/>
          <w:lang w:val="uk-UA"/>
        </w:rPr>
      </w:pPr>
    </w:p>
    <w:p w14:paraId="20621905" w14:textId="6B35BF19" w:rsidR="00352334"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Інформація з проектом рішень щодо кожного з питань, включених до порядку денного Загальних зборів,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розміщена власному веб-сайті </w:t>
      </w:r>
      <w:r w:rsidR="00352334" w:rsidRPr="00EC5236">
        <w:rPr>
          <w:rFonts w:ascii="Times New Roman" w:hAnsi="Times New Roman" w:cs="Times New Roman"/>
          <w:sz w:val="24"/>
          <w:szCs w:val="24"/>
          <w:lang w:val="uk-UA"/>
        </w:rPr>
        <w:t>ПрАТ «Комбінат «Придніпровський» http://zlagoda.emitinfo.com у розділі «Загальні збори».</w:t>
      </w:r>
    </w:p>
    <w:p w14:paraId="56BB9844" w14:textId="75CD5DAA" w:rsidR="00352334" w:rsidRPr="00EC5236" w:rsidRDefault="00352334" w:rsidP="0069215B">
      <w:pPr>
        <w:pStyle w:val="a5"/>
        <w:jc w:val="both"/>
        <w:rPr>
          <w:rFonts w:ascii="Times New Roman" w:hAnsi="Times New Roman" w:cs="Times New Roman"/>
          <w:sz w:val="24"/>
          <w:szCs w:val="24"/>
          <w:lang w:val="uk-UA"/>
        </w:rPr>
      </w:pPr>
    </w:p>
    <w:p w14:paraId="4556792A" w14:textId="6BB89B0C" w:rsidR="00352334" w:rsidRPr="00EC5236" w:rsidRDefault="00352334" w:rsidP="0069215B">
      <w:pPr>
        <w:pStyle w:val="a5"/>
        <w:jc w:val="both"/>
        <w:rPr>
          <w:rFonts w:ascii="Times New Roman" w:hAnsi="Times New Roman" w:cs="Times New Roman"/>
          <w:sz w:val="24"/>
          <w:szCs w:val="24"/>
          <w:lang w:val="uk-UA"/>
        </w:rPr>
      </w:pPr>
      <w:r w:rsidRPr="006858ED">
        <w:rPr>
          <w:rFonts w:ascii="Times New Roman" w:hAnsi="Times New Roman" w:cs="Times New Roman"/>
          <w:sz w:val="24"/>
          <w:szCs w:val="24"/>
          <w:lang w:val="uk-UA"/>
        </w:rPr>
        <w:t xml:space="preserve">Станом на </w:t>
      </w:r>
      <w:r w:rsidR="006858ED" w:rsidRPr="006858ED">
        <w:rPr>
          <w:rFonts w:ascii="Times New Roman" w:hAnsi="Times New Roman" w:cs="Times New Roman"/>
          <w:sz w:val="24"/>
          <w:szCs w:val="24"/>
          <w:lang w:val="ru-RU"/>
        </w:rPr>
        <w:t>18.11</w:t>
      </w:r>
      <w:r w:rsidRPr="006858ED">
        <w:rPr>
          <w:rFonts w:ascii="Times New Roman" w:hAnsi="Times New Roman" w:cs="Times New Roman"/>
          <w:sz w:val="24"/>
          <w:szCs w:val="24"/>
          <w:lang w:val="uk-UA"/>
        </w:rPr>
        <w:t xml:space="preserve">.2022р. загальна кількість акцій складає 7000000, кількість голосуючих акцій </w:t>
      </w:r>
      <w:r w:rsidR="007011AE" w:rsidRPr="007011AE">
        <w:rPr>
          <w:rFonts w:ascii="Times New Roman" w:hAnsi="Times New Roman" w:cs="Times New Roman"/>
          <w:sz w:val="24"/>
          <w:szCs w:val="24"/>
          <w:lang w:val="uk-UA"/>
        </w:rPr>
        <w:t>6437588</w:t>
      </w:r>
      <w:r w:rsidRPr="006858ED">
        <w:rPr>
          <w:rFonts w:ascii="Times New Roman" w:hAnsi="Times New Roman" w:cs="Times New Roman"/>
          <w:sz w:val="24"/>
          <w:szCs w:val="24"/>
          <w:lang w:val="uk-UA"/>
        </w:rPr>
        <w:t>.</w:t>
      </w:r>
      <w:r w:rsidRPr="00EC5236">
        <w:rPr>
          <w:rFonts w:ascii="Times New Roman" w:hAnsi="Times New Roman" w:cs="Times New Roman"/>
          <w:sz w:val="24"/>
          <w:szCs w:val="24"/>
          <w:lang w:val="uk-UA"/>
        </w:rPr>
        <w:t xml:space="preserve"> </w:t>
      </w:r>
    </w:p>
    <w:p w14:paraId="260C6A4B" w14:textId="77777777" w:rsidR="00352334" w:rsidRPr="00EC5236" w:rsidRDefault="00352334" w:rsidP="0069215B">
      <w:pPr>
        <w:pStyle w:val="a5"/>
        <w:jc w:val="both"/>
        <w:rPr>
          <w:rFonts w:ascii="Times New Roman" w:hAnsi="Times New Roman" w:cs="Times New Roman"/>
          <w:sz w:val="24"/>
          <w:szCs w:val="24"/>
          <w:lang w:val="uk-UA"/>
        </w:rPr>
      </w:pPr>
    </w:p>
    <w:p w14:paraId="6C32C4F7" w14:textId="77777777" w:rsidR="00352334" w:rsidRPr="00EC5236" w:rsidRDefault="00514170" w:rsidP="0069215B">
      <w:pPr>
        <w:pStyle w:val="a5"/>
        <w:jc w:val="both"/>
        <w:rPr>
          <w:rFonts w:ascii="Times New Roman" w:hAnsi="Times New Roman" w:cs="Times New Roman"/>
          <w:b/>
          <w:bCs/>
          <w:sz w:val="24"/>
          <w:szCs w:val="24"/>
          <w:lang w:val="uk-UA"/>
        </w:rPr>
      </w:pPr>
      <w:r w:rsidRPr="00EC5236">
        <w:rPr>
          <w:rFonts w:ascii="Times New Roman" w:hAnsi="Times New Roman" w:cs="Times New Roman"/>
          <w:b/>
          <w:bCs/>
          <w:sz w:val="24"/>
          <w:szCs w:val="24"/>
          <w:lang w:val="uk-UA"/>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акціонерів, а також строк, протягом якого такі права можуть використовуватися. </w:t>
      </w:r>
    </w:p>
    <w:p w14:paraId="12FBE1F9" w14:textId="77777777" w:rsidR="00352334" w:rsidRPr="00EC5236" w:rsidRDefault="00352334" w:rsidP="0069215B">
      <w:pPr>
        <w:pStyle w:val="a5"/>
        <w:jc w:val="both"/>
        <w:rPr>
          <w:rFonts w:ascii="Times New Roman" w:hAnsi="Times New Roman" w:cs="Times New Roman"/>
          <w:sz w:val="24"/>
          <w:szCs w:val="24"/>
          <w:lang w:val="uk-UA"/>
        </w:rPr>
      </w:pPr>
    </w:p>
    <w:p w14:paraId="137490B1" w14:textId="6F2C64B6"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управління Товариства, кількість яких не може перевищувати кількісного складу кожного з органів.</w:t>
      </w:r>
    </w:p>
    <w:p w14:paraId="37D3F914" w14:textId="77777777"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Пропозиції вносяться не пізніше ніж за 20 днів до дати проведення Загальних зборів, а щодо кандидатів до складу органів управління Товариства - не пізніше ніж за 7 днів до дати проведення Загальних зборів. </w:t>
      </w:r>
    </w:p>
    <w:p w14:paraId="02330CC0" w14:textId="5E814AB6"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6858ED" w:rsidRPr="006858ED">
        <w:rPr>
          <w:rFonts w:ascii="Times New Roman" w:hAnsi="Times New Roman" w:cs="Times New Roman"/>
          <w:sz w:val="24"/>
          <w:szCs w:val="24"/>
          <w:lang w:val="ru-RU"/>
        </w:rPr>
        <w:t xml:space="preserve"> </w:t>
      </w:r>
      <w:hyperlink r:id="rId4" w:history="1">
        <w:r w:rsidR="006858ED" w:rsidRPr="00132F96">
          <w:rPr>
            <w:rStyle w:val="a3"/>
            <w:rFonts w:ascii="Times New Roman" w:hAnsi="Times New Roman" w:cs="Times New Roman"/>
            <w:sz w:val="24"/>
            <w:szCs w:val="24"/>
            <w:lang w:val="en-US"/>
          </w:rPr>
          <w:t>pravlenie</w:t>
        </w:r>
        <w:r w:rsidR="006858ED" w:rsidRPr="00132F96">
          <w:rPr>
            <w:rStyle w:val="a3"/>
            <w:rFonts w:ascii="Times New Roman" w:hAnsi="Times New Roman" w:cs="Times New Roman"/>
            <w:sz w:val="24"/>
            <w:szCs w:val="24"/>
            <w:lang w:val="ru-RU"/>
          </w:rPr>
          <w:t>@</w:t>
        </w:r>
        <w:r w:rsidR="006858ED" w:rsidRPr="00132F96">
          <w:rPr>
            <w:rStyle w:val="a3"/>
            <w:rFonts w:ascii="Times New Roman" w:hAnsi="Times New Roman" w:cs="Times New Roman"/>
            <w:sz w:val="24"/>
            <w:szCs w:val="24"/>
            <w:lang w:val="en-US"/>
          </w:rPr>
          <w:t>zlagoda</w:t>
        </w:r>
        <w:r w:rsidR="006858ED" w:rsidRPr="00132F96">
          <w:rPr>
            <w:rStyle w:val="a3"/>
            <w:rFonts w:ascii="Times New Roman" w:hAnsi="Times New Roman" w:cs="Times New Roman"/>
            <w:sz w:val="24"/>
            <w:szCs w:val="24"/>
            <w:lang w:val="ru-RU"/>
          </w:rPr>
          <w:t>.</w:t>
        </w:r>
        <w:r w:rsidR="006858ED" w:rsidRPr="00132F96">
          <w:rPr>
            <w:rStyle w:val="a3"/>
            <w:rFonts w:ascii="Times New Roman" w:hAnsi="Times New Roman" w:cs="Times New Roman"/>
            <w:sz w:val="24"/>
            <w:szCs w:val="24"/>
            <w:lang w:val="en-US"/>
          </w:rPr>
          <w:t>dp</w:t>
        </w:r>
        <w:r w:rsidR="006858ED" w:rsidRPr="00132F96">
          <w:rPr>
            <w:rStyle w:val="a3"/>
            <w:rFonts w:ascii="Times New Roman" w:hAnsi="Times New Roman" w:cs="Times New Roman"/>
            <w:sz w:val="24"/>
            <w:szCs w:val="24"/>
            <w:lang w:val="ru-RU"/>
          </w:rPr>
          <w:t>.</w:t>
        </w:r>
        <w:r w:rsidR="006858ED" w:rsidRPr="00132F96">
          <w:rPr>
            <w:rStyle w:val="a3"/>
            <w:rFonts w:ascii="Times New Roman" w:hAnsi="Times New Roman" w:cs="Times New Roman"/>
            <w:sz w:val="24"/>
            <w:szCs w:val="24"/>
            <w:lang w:val="en-US"/>
          </w:rPr>
          <w:t>ua</w:t>
        </w:r>
      </w:hyperlink>
      <w:r w:rsidR="006858ED" w:rsidRPr="006858ED">
        <w:rPr>
          <w:rFonts w:ascii="Times New Roman" w:hAnsi="Times New Roman" w:cs="Times New Roman"/>
          <w:sz w:val="24"/>
          <w:szCs w:val="24"/>
          <w:lang w:val="ru-RU"/>
        </w:rPr>
        <w:t xml:space="preserve"> </w:t>
      </w:r>
    </w:p>
    <w:p w14:paraId="0C35B041" w14:textId="77777777"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w:t>
      </w:r>
    </w:p>
    <w:p w14:paraId="75F5FA46" w14:textId="2DA99338"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r w:rsidR="006858ED" w:rsidRPr="006858ED">
        <w:rPr>
          <w:rFonts w:ascii="Times New Roman" w:hAnsi="Times New Roman" w:cs="Times New Roman"/>
          <w:sz w:val="24"/>
          <w:szCs w:val="24"/>
          <w:lang w:val="uk-UA"/>
        </w:rPr>
        <w:t>pravlenie@zlagoda.dp.ua</w:t>
      </w:r>
      <w:r w:rsidRPr="00EC5236">
        <w:rPr>
          <w:rFonts w:ascii="Times New Roman" w:hAnsi="Times New Roman" w:cs="Times New Roman"/>
          <w:sz w:val="24"/>
          <w:szCs w:val="24"/>
          <w:lang w:val="uk-UA"/>
        </w:rPr>
        <w:t xml:space="preserve">.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w:t>
      </w:r>
    </w:p>
    <w:p w14:paraId="32D1B244" w14:textId="77777777"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2D0CF02D" w14:textId="72331F87" w:rsidR="0044318C"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та порядку денного Загальних зборів. Відповідні запити направляються акціонерами на адресу електронної пошти </w:t>
      </w:r>
      <w:r w:rsidR="006858ED" w:rsidRPr="006858ED">
        <w:rPr>
          <w:rFonts w:ascii="Times New Roman" w:hAnsi="Times New Roman" w:cs="Times New Roman"/>
          <w:sz w:val="24"/>
          <w:szCs w:val="24"/>
          <w:lang w:val="uk-UA"/>
        </w:rPr>
        <w:t>pravlenie@zlagoda.dp.ua</w:t>
      </w:r>
      <w:r w:rsidRPr="00EC5236">
        <w:rPr>
          <w:rFonts w:ascii="Times New Roman" w:hAnsi="Times New Roman" w:cs="Times New Roman"/>
          <w:sz w:val="24"/>
          <w:szCs w:val="24"/>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14:paraId="53464BB3" w14:textId="4A519E10" w:rsidR="0044318C" w:rsidRPr="00EC5236" w:rsidRDefault="00EC5236" w:rsidP="0069215B">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Макаренко Андрій Леонідович</w:t>
      </w:r>
      <w:r w:rsidR="000632B6" w:rsidRPr="00EC5236">
        <w:rPr>
          <w:rFonts w:ascii="Times New Roman" w:hAnsi="Times New Roman" w:cs="Times New Roman"/>
          <w:sz w:val="24"/>
          <w:szCs w:val="24"/>
          <w:lang w:val="uk-UA"/>
        </w:rPr>
        <w:t>,</w:t>
      </w:r>
      <w:r w:rsidR="00514170" w:rsidRPr="00EC5236">
        <w:rPr>
          <w:rFonts w:ascii="Times New Roman" w:hAnsi="Times New Roman" w:cs="Times New Roman"/>
          <w:sz w:val="24"/>
          <w:szCs w:val="24"/>
          <w:lang w:val="uk-UA"/>
        </w:rPr>
        <w:t xml:space="preserve">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w:t>
      </w:r>
    </w:p>
    <w:p w14:paraId="1905B171" w14:textId="77777777" w:rsidR="0044318C" w:rsidRPr="00EC5236" w:rsidRDefault="0044318C" w:rsidP="0069215B">
      <w:pPr>
        <w:pStyle w:val="a5"/>
        <w:jc w:val="both"/>
        <w:rPr>
          <w:rFonts w:ascii="Times New Roman" w:hAnsi="Times New Roman" w:cs="Times New Roman"/>
          <w:sz w:val="24"/>
          <w:szCs w:val="24"/>
          <w:lang w:val="uk-UA"/>
        </w:rPr>
      </w:pPr>
    </w:p>
    <w:p w14:paraId="156FD158"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b/>
          <w:bCs/>
          <w:sz w:val="24"/>
          <w:szCs w:val="24"/>
          <w:lang w:val="uk-UA"/>
        </w:rPr>
        <w:t>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w:t>
      </w:r>
      <w:r w:rsidRPr="00EC5236">
        <w:rPr>
          <w:rFonts w:ascii="Times New Roman" w:hAnsi="Times New Roman" w:cs="Times New Roman"/>
          <w:sz w:val="24"/>
          <w:szCs w:val="24"/>
          <w:lang w:val="uk-UA"/>
        </w:rPr>
        <w:t xml:space="preserve"> </w:t>
      </w:r>
    </w:p>
    <w:p w14:paraId="1DBFAD2B"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Датою початку голосування акціонерів є дата розміщення бюлетенів для голосування у вільному для акціонерів доступі на власному веб-сайті. Датою закінчення голосування акціонерів є дата проведення Загальних зборів. </w:t>
      </w:r>
    </w:p>
    <w:p w14:paraId="3BB1E01F" w14:textId="10FD9DB2"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Звертаємо увагу, що бюлетені приймаються виключно до 18-00 дати завершення голосування – </w:t>
      </w:r>
      <w:r w:rsidR="00EC5236" w:rsidRPr="00EC5236">
        <w:rPr>
          <w:rFonts w:ascii="Times New Roman" w:hAnsi="Times New Roman" w:cs="Times New Roman"/>
          <w:sz w:val="24"/>
          <w:szCs w:val="24"/>
          <w:lang w:val="ru-RU"/>
        </w:rPr>
        <w:t>23.12.2022</w:t>
      </w:r>
      <w:r w:rsidRPr="00EC5236">
        <w:rPr>
          <w:rFonts w:ascii="Times New Roman" w:hAnsi="Times New Roman" w:cs="Times New Roman"/>
          <w:sz w:val="24"/>
          <w:szCs w:val="24"/>
          <w:lang w:val="uk-UA"/>
        </w:rPr>
        <w:t xml:space="preserve">. Бюлетень, що був отриманий депозитарною установою після завершення часу, відведеного на голосування, вважається таким, що не поданий. </w:t>
      </w:r>
    </w:p>
    <w:p w14:paraId="61F509AE"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На загальних зборах не може бути оголошено перерву або змінено послідовність розгляду питань порядку денного. 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 </w:t>
      </w:r>
    </w:p>
    <w:p w14:paraId="4B1E83B7"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34E3C0C5"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p>
    <w:p w14:paraId="3B437631"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акціонерів. </w:t>
      </w:r>
    </w:p>
    <w:p w14:paraId="5180709E"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14:paraId="47AA25C4"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69C4368D"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Акціонер в період проведення голосування може надати депозитарній установі, яка обслуговує рахунок в цінних паперах лише один бюлетень для голосування з одних і тих самих питань порядку денного. </w:t>
      </w:r>
    </w:p>
    <w:p w14:paraId="34CC1302"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Бюлетень для голосування на Загальних зборах засвідчується одним з наступних способів за вибором акціонера: </w:t>
      </w:r>
    </w:p>
    <w:p w14:paraId="2CCF70DC"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1) за допомогою кваліфікованого електронного підпису акціонера (його представника); </w:t>
      </w:r>
    </w:p>
    <w:p w14:paraId="29CBE563"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2) нотаріально, за умови підписання бюлетеня в присутності нотаріуса або посадової особи, яка вчиняє нотаріальні дії; </w:t>
      </w:r>
    </w:p>
    <w:p w14:paraId="4339BD92"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за умови підписання бюлетеня в присутності уповноваженої особи депозитарної установи. </w:t>
      </w:r>
    </w:p>
    <w:p w14:paraId="0957EB26" w14:textId="307A3339"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14:paraId="5B0BDEA8" w14:textId="77777777" w:rsidR="008A6AAE" w:rsidRPr="00EC5236" w:rsidRDefault="008A6AAE" w:rsidP="0069215B">
      <w:pPr>
        <w:pStyle w:val="a5"/>
        <w:jc w:val="both"/>
        <w:rPr>
          <w:rFonts w:ascii="Times New Roman" w:hAnsi="Times New Roman" w:cs="Times New Roman"/>
          <w:sz w:val="24"/>
          <w:szCs w:val="24"/>
          <w:lang w:val="uk-UA"/>
        </w:rPr>
      </w:pPr>
    </w:p>
    <w:p w14:paraId="3EBDF62A" w14:textId="7275E90B" w:rsidR="000632B6" w:rsidRPr="00EC5236" w:rsidRDefault="00514170" w:rsidP="0069215B">
      <w:pPr>
        <w:pStyle w:val="a5"/>
        <w:jc w:val="both"/>
        <w:rPr>
          <w:rFonts w:ascii="Times New Roman" w:hAnsi="Times New Roman" w:cs="Times New Roman"/>
          <w:b/>
          <w:bCs/>
          <w:sz w:val="24"/>
          <w:szCs w:val="24"/>
          <w:lang w:val="uk-UA"/>
        </w:rPr>
      </w:pPr>
      <w:r w:rsidRPr="00EC5236">
        <w:rPr>
          <w:rFonts w:ascii="Times New Roman" w:hAnsi="Times New Roman" w:cs="Times New Roman"/>
          <w:b/>
          <w:bCs/>
          <w:sz w:val="24"/>
          <w:szCs w:val="24"/>
          <w:lang w:val="uk-UA"/>
        </w:rPr>
        <w:t xml:space="preserve">Представник акціонера на Загальних зборах </w:t>
      </w:r>
    </w:p>
    <w:p w14:paraId="55B9F712"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Представником акціонера на Загальних зборах може бути фізична особа або уповноважена особа юридичної особи. Представником акціонера - фізичної чи юридичної особи на Загальних зборах може бути інша фізична особа або уповноважена особа юридичної особи. Акціонер має право призначити свого представника постійно або на певний строк. Посадові особи органів Товариства та їх афілійовані особи не можуть бути представниками інших акціонерів акціонерного товариства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22A7BD3F"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14:paraId="5AC6F99C"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6E7F3935" w14:textId="77777777"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6BF2368" w14:textId="0CFD1903"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У разі, якщо акції Товариства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14:paraId="64B54C46" w14:textId="77777777" w:rsidR="00686C47" w:rsidRPr="00EC5236" w:rsidRDefault="00686C47" w:rsidP="0069215B">
      <w:pPr>
        <w:pStyle w:val="a5"/>
        <w:jc w:val="both"/>
        <w:rPr>
          <w:rFonts w:ascii="Times New Roman" w:hAnsi="Times New Roman" w:cs="Times New Roman"/>
          <w:sz w:val="24"/>
          <w:szCs w:val="24"/>
          <w:lang w:val="uk-UA"/>
        </w:rPr>
      </w:pPr>
    </w:p>
    <w:p w14:paraId="78F29120" w14:textId="77777777" w:rsidR="000632B6" w:rsidRPr="00EC5236" w:rsidRDefault="00514170" w:rsidP="0069215B">
      <w:pPr>
        <w:pStyle w:val="a5"/>
        <w:jc w:val="both"/>
        <w:rPr>
          <w:rFonts w:ascii="Times New Roman" w:hAnsi="Times New Roman" w:cs="Times New Roman"/>
          <w:b/>
          <w:bCs/>
          <w:sz w:val="24"/>
          <w:szCs w:val="24"/>
          <w:lang w:val="uk-UA"/>
        </w:rPr>
      </w:pPr>
      <w:r w:rsidRPr="00EC5236">
        <w:rPr>
          <w:rFonts w:ascii="Times New Roman" w:hAnsi="Times New Roman" w:cs="Times New Roman"/>
          <w:b/>
          <w:bCs/>
          <w:sz w:val="24"/>
          <w:szCs w:val="24"/>
          <w:lang w:val="uk-UA"/>
        </w:rPr>
        <w:t xml:space="preserve"> Інформація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w:t>
      </w:r>
      <w:r w:rsidR="000632B6" w:rsidRPr="00EC5236">
        <w:rPr>
          <w:rFonts w:ascii="Times New Roman" w:hAnsi="Times New Roman" w:cs="Times New Roman"/>
          <w:b/>
          <w:bCs/>
          <w:sz w:val="24"/>
          <w:szCs w:val="24"/>
          <w:lang w:val="uk-UA"/>
        </w:rPr>
        <w:t>.</w:t>
      </w:r>
    </w:p>
    <w:p w14:paraId="50DE5C66" w14:textId="4D0E3D1C" w:rsidR="000632B6" w:rsidRPr="00EC5236" w:rsidRDefault="00514170"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 xml:space="preserve">Звертаємо увагу, що відповідно до пункту 10 розділу VI Закону України «Про депозитарну систему України» власник цінних паперів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договір про обслуговування рахунку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такі цінні папери не будуть враховані при визначенні кворуму та при голосуванні на Загальних зборах акціонерів. 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 Для забезпечення реалізації права на участь у Загальних зборах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w:t>
      </w:r>
    </w:p>
    <w:p w14:paraId="364B2A4C" w14:textId="7CA283B7" w:rsidR="00686C47" w:rsidRPr="00EC5236" w:rsidRDefault="00686C47" w:rsidP="0069215B">
      <w:pPr>
        <w:pStyle w:val="a5"/>
        <w:jc w:val="both"/>
        <w:rPr>
          <w:rFonts w:ascii="Times New Roman" w:hAnsi="Times New Roman" w:cs="Times New Roman"/>
          <w:sz w:val="24"/>
          <w:szCs w:val="24"/>
          <w:lang w:val="uk-UA"/>
        </w:rPr>
      </w:pPr>
    </w:p>
    <w:p w14:paraId="12CF021D" w14:textId="77777777" w:rsidR="0081046C" w:rsidRPr="0081046C" w:rsidRDefault="0081046C" w:rsidP="0081046C">
      <w:pPr>
        <w:tabs>
          <w:tab w:val="left" w:pos="0"/>
        </w:tabs>
        <w:suppressAutoHyphens/>
        <w:spacing w:after="0" w:line="240" w:lineRule="auto"/>
        <w:jc w:val="both"/>
        <w:rPr>
          <w:rFonts w:ascii="Calibri" w:eastAsia="Times New Roman" w:hAnsi="Calibri" w:cs="Calibri"/>
          <w:sz w:val="20"/>
          <w:szCs w:val="20"/>
          <w:lang w:val="ru-RU" w:eastAsia="zh-CN"/>
        </w:rPr>
      </w:pPr>
      <w:r w:rsidRPr="0081046C">
        <w:rPr>
          <w:rFonts w:ascii="Times New Roman" w:eastAsia="Times New Roman" w:hAnsi="Times New Roman" w:cs="Times New Roman"/>
          <w:color w:val="000000"/>
          <w:sz w:val="17"/>
          <w:szCs w:val="17"/>
          <w:lang w:val="uk-UA" w:eastAsia="zh-CN"/>
        </w:rPr>
        <w:t xml:space="preserve">Основні показники фінансово-господарської діяльності Товариства (тис. </w:t>
      </w:r>
      <w:r w:rsidRPr="0081046C">
        <w:rPr>
          <w:rFonts w:ascii="Times New Roman" w:eastAsia="Times New Roman" w:hAnsi="Times New Roman" w:cs="Times New Roman"/>
          <w:color w:val="000000"/>
          <w:sz w:val="17"/>
          <w:szCs w:val="17"/>
          <w:lang w:val="ru-RU" w:eastAsia="zh-CN"/>
        </w:rPr>
        <w:t>грн.)</w:t>
      </w:r>
    </w:p>
    <w:tbl>
      <w:tblPr>
        <w:tblW w:w="5000" w:type="pct"/>
        <w:tblInd w:w="-42" w:type="dxa"/>
        <w:tblLayout w:type="fixed"/>
        <w:tblCellMar>
          <w:top w:w="60" w:type="dxa"/>
          <w:left w:w="60" w:type="dxa"/>
          <w:bottom w:w="60" w:type="dxa"/>
          <w:right w:w="60" w:type="dxa"/>
        </w:tblCellMar>
        <w:tblLook w:val="0000" w:firstRow="0" w:lastRow="0" w:firstColumn="0" w:lastColumn="0" w:noHBand="0" w:noVBand="0"/>
      </w:tblPr>
      <w:tblGrid>
        <w:gridCol w:w="6860"/>
        <w:gridCol w:w="1465"/>
        <w:gridCol w:w="1573"/>
        <w:gridCol w:w="11"/>
      </w:tblGrid>
      <w:tr w:rsidR="0081046C" w:rsidRPr="0081046C" w14:paraId="00C5EF73" w14:textId="77777777" w:rsidTr="00F20013">
        <w:trPr>
          <w:trHeight w:val="23"/>
        </w:trPr>
        <w:tc>
          <w:tcPr>
            <w:tcW w:w="7312" w:type="dxa"/>
            <w:vMerge w:val="restart"/>
            <w:tcBorders>
              <w:top w:val="single" w:sz="6" w:space="0" w:color="000000"/>
              <w:left w:val="single" w:sz="6" w:space="0" w:color="000000"/>
              <w:bottom w:val="single" w:sz="6" w:space="0" w:color="000000"/>
            </w:tcBorders>
            <w:shd w:val="clear" w:color="auto" w:fill="FFFFFF"/>
          </w:tcPr>
          <w:p w14:paraId="2A90C111"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Найменування показника</w:t>
            </w:r>
          </w:p>
        </w:tc>
        <w:tc>
          <w:tcPr>
            <w:tcW w:w="32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4B7B4D"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Період</w:t>
            </w:r>
          </w:p>
        </w:tc>
      </w:tr>
      <w:tr w:rsidR="0081046C" w:rsidRPr="0081046C" w14:paraId="7EC610A1" w14:textId="77777777" w:rsidTr="00F20013">
        <w:trPr>
          <w:trHeight w:val="23"/>
        </w:trPr>
        <w:tc>
          <w:tcPr>
            <w:tcW w:w="7312" w:type="dxa"/>
            <w:vMerge/>
            <w:tcBorders>
              <w:top w:val="single" w:sz="6" w:space="0" w:color="000000"/>
              <w:left w:val="single" w:sz="6" w:space="0" w:color="000000"/>
              <w:bottom w:val="single" w:sz="6" w:space="0" w:color="000000"/>
            </w:tcBorders>
            <w:shd w:val="clear" w:color="auto" w:fill="FFFFFF"/>
          </w:tcPr>
          <w:p w14:paraId="447FC447" w14:textId="77777777" w:rsidR="0081046C" w:rsidRPr="0081046C" w:rsidRDefault="0081046C" w:rsidP="0081046C">
            <w:pPr>
              <w:tabs>
                <w:tab w:val="left" w:pos="0"/>
              </w:tabs>
              <w:suppressAutoHyphens/>
              <w:snapToGrid w:val="0"/>
              <w:spacing w:after="0" w:line="240" w:lineRule="auto"/>
              <w:jc w:val="both"/>
              <w:rPr>
                <w:rFonts w:ascii="Times New Roman" w:eastAsia="Times New Roman" w:hAnsi="Times New Roman" w:cs="Times New Roman"/>
                <w:color w:val="000000"/>
                <w:sz w:val="24"/>
                <w:szCs w:val="24"/>
                <w:lang w:val="uk-UA" w:eastAsia="zh-CN"/>
              </w:rPr>
            </w:pPr>
          </w:p>
        </w:tc>
        <w:tc>
          <w:tcPr>
            <w:tcW w:w="1554" w:type="dxa"/>
            <w:tcBorders>
              <w:top w:val="single" w:sz="4" w:space="0" w:color="000000"/>
              <w:left w:val="single" w:sz="4" w:space="0" w:color="000000"/>
              <w:bottom w:val="single" w:sz="4" w:space="0" w:color="000000"/>
            </w:tcBorders>
            <w:shd w:val="clear" w:color="auto" w:fill="FFFFFF"/>
          </w:tcPr>
          <w:p w14:paraId="7499A5CB"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звітний</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7A456C"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попередній</w:t>
            </w:r>
          </w:p>
        </w:tc>
      </w:tr>
      <w:tr w:rsidR="0081046C" w:rsidRPr="0081046C" w14:paraId="25433CB8"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0F78ECDF"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Усього активів</w:t>
            </w:r>
          </w:p>
        </w:tc>
        <w:tc>
          <w:tcPr>
            <w:tcW w:w="1554" w:type="dxa"/>
            <w:tcBorders>
              <w:top w:val="single" w:sz="4" w:space="0" w:color="000000"/>
              <w:left w:val="single" w:sz="4" w:space="0" w:color="000000"/>
              <w:bottom w:val="single" w:sz="4" w:space="0" w:color="000000"/>
            </w:tcBorders>
            <w:shd w:val="clear" w:color="auto" w:fill="FFFFFF"/>
          </w:tcPr>
          <w:p w14:paraId="2D23EE92"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461 818</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841C6C"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389 163</w:t>
            </w:r>
          </w:p>
        </w:tc>
      </w:tr>
      <w:tr w:rsidR="0081046C" w:rsidRPr="0081046C" w14:paraId="2E8317D9"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1F7D1E63"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Основні засоби (за залишковою вартістю)</w:t>
            </w:r>
          </w:p>
        </w:tc>
        <w:tc>
          <w:tcPr>
            <w:tcW w:w="1554" w:type="dxa"/>
            <w:tcBorders>
              <w:top w:val="single" w:sz="4" w:space="0" w:color="000000"/>
              <w:left w:val="single" w:sz="4" w:space="0" w:color="000000"/>
              <w:bottom w:val="single" w:sz="4" w:space="0" w:color="000000"/>
            </w:tcBorders>
            <w:shd w:val="clear" w:color="auto" w:fill="FFFFFF"/>
          </w:tcPr>
          <w:p w14:paraId="1E0370A4"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215 142</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511A8"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208 875</w:t>
            </w:r>
          </w:p>
        </w:tc>
      </w:tr>
      <w:tr w:rsidR="0081046C" w:rsidRPr="0081046C" w14:paraId="07B89CA0"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7636B40C"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Запаси</w:t>
            </w:r>
          </w:p>
        </w:tc>
        <w:tc>
          <w:tcPr>
            <w:tcW w:w="1554" w:type="dxa"/>
            <w:tcBorders>
              <w:top w:val="single" w:sz="4" w:space="0" w:color="000000"/>
              <w:left w:val="single" w:sz="4" w:space="0" w:color="000000"/>
              <w:bottom w:val="single" w:sz="4" w:space="0" w:color="000000"/>
            </w:tcBorders>
            <w:shd w:val="clear" w:color="auto" w:fill="FFFFFF"/>
          </w:tcPr>
          <w:p w14:paraId="2BA636DB"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112 738</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34B33"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66 519</w:t>
            </w:r>
          </w:p>
        </w:tc>
      </w:tr>
      <w:tr w:rsidR="0081046C" w:rsidRPr="0081046C" w14:paraId="1C881631"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505D6956"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Сумарна дебіторська заборгованість</w:t>
            </w:r>
          </w:p>
        </w:tc>
        <w:tc>
          <w:tcPr>
            <w:tcW w:w="1554" w:type="dxa"/>
            <w:tcBorders>
              <w:top w:val="single" w:sz="4" w:space="0" w:color="000000"/>
              <w:left w:val="single" w:sz="4" w:space="0" w:color="000000"/>
              <w:bottom w:val="single" w:sz="4" w:space="0" w:color="000000"/>
            </w:tcBorders>
            <w:shd w:val="clear" w:color="auto" w:fill="FFFFFF"/>
          </w:tcPr>
          <w:p w14:paraId="2A9EDF76"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112 424</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EF75D4"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84 444</w:t>
            </w:r>
          </w:p>
        </w:tc>
      </w:tr>
      <w:tr w:rsidR="0081046C" w:rsidRPr="0081046C" w14:paraId="4A1AE6E4"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2BC816EA"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Гроші та їх еквіваленти</w:t>
            </w:r>
          </w:p>
        </w:tc>
        <w:tc>
          <w:tcPr>
            <w:tcW w:w="1554" w:type="dxa"/>
            <w:tcBorders>
              <w:top w:val="single" w:sz="4" w:space="0" w:color="000000"/>
              <w:left w:val="single" w:sz="4" w:space="0" w:color="000000"/>
              <w:bottom w:val="single" w:sz="4" w:space="0" w:color="000000"/>
            </w:tcBorders>
            <w:shd w:val="clear" w:color="auto" w:fill="FFFFFF"/>
          </w:tcPr>
          <w:p w14:paraId="3623E2EE"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20 612</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C588B9"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28 573</w:t>
            </w:r>
          </w:p>
        </w:tc>
      </w:tr>
      <w:tr w:rsidR="0081046C" w:rsidRPr="0081046C" w14:paraId="0BDAC93D"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05188FD3"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Нерозподілений прибуток (непокритий збиток)</w:t>
            </w:r>
          </w:p>
        </w:tc>
        <w:tc>
          <w:tcPr>
            <w:tcW w:w="1554" w:type="dxa"/>
            <w:tcBorders>
              <w:top w:val="single" w:sz="4" w:space="0" w:color="000000"/>
              <w:left w:val="single" w:sz="4" w:space="0" w:color="000000"/>
              <w:bottom w:val="single" w:sz="4" w:space="0" w:color="000000"/>
            </w:tcBorders>
            <w:shd w:val="clear" w:color="auto" w:fill="FFFFFF"/>
          </w:tcPr>
          <w:p w14:paraId="1A5240B6"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325 919</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893C4A"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287 953</w:t>
            </w:r>
          </w:p>
        </w:tc>
      </w:tr>
      <w:tr w:rsidR="0081046C" w:rsidRPr="0081046C" w14:paraId="6E634F6D"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6366E148"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Власний капітал</w:t>
            </w:r>
          </w:p>
        </w:tc>
        <w:tc>
          <w:tcPr>
            <w:tcW w:w="1554" w:type="dxa"/>
            <w:tcBorders>
              <w:top w:val="single" w:sz="4" w:space="0" w:color="000000"/>
              <w:left w:val="single" w:sz="4" w:space="0" w:color="000000"/>
              <w:bottom w:val="single" w:sz="4" w:space="0" w:color="000000"/>
            </w:tcBorders>
            <w:shd w:val="clear" w:color="auto" w:fill="FFFFFF"/>
          </w:tcPr>
          <w:p w14:paraId="7CDD62DD"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365 229</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26C513"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325 265</w:t>
            </w:r>
          </w:p>
        </w:tc>
      </w:tr>
      <w:tr w:rsidR="0081046C" w:rsidRPr="0081046C" w14:paraId="3CF30008"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72EB0D85"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Зареєстрований (пайовий/статутний) капітал</w:t>
            </w:r>
          </w:p>
        </w:tc>
        <w:tc>
          <w:tcPr>
            <w:tcW w:w="1554" w:type="dxa"/>
            <w:tcBorders>
              <w:top w:val="single" w:sz="4" w:space="0" w:color="000000"/>
              <w:left w:val="single" w:sz="4" w:space="0" w:color="000000"/>
              <w:bottom w:val="single" w:sz="4" w:space="0" w:color="000000"/>
            </w:tcBorders>
            <w:shd w:val="clear" w:color="auto" w:fill="FFFFFF"/>
          </w:tcPr>
          <w:p w14:paraId="3E728A26"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17 500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2A9DC2"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17 500</w:t>
            </w:r>
          </w:p>
        </w:tc>
      </w:tr>
      <w:tr w:rsidR="0081046C" w:rsidRPr="0081046C" w14:paraId="41DA7A98"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5155039A"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Довгострокові зобов'язання і забезпечення</w:t>
            </w:r>
          </w:p>
        </w:tc>
        <w:tc>
          <w:tcPr>
            <w:tcW w:w="1554" w:type="dxa"/>
            <w:tcBorders>
              <w:top w:val="single" w:sz="4" w:space="0" w:color="000000"/>
              <w:left w:val="single" w:sz="4" w:space="0" w:color="000000"/>
              <w:bottom w:val="single" w:sz="4" w:space="0" w:color="000000"/>
            </w:tcBorders>
            <w:shd w:val="clear" w:color="auto" w:fill="FFFFFF"/>
          </w:tcPr>
          <w:p w14:paraId="45781CD6"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F71B2E"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0</w:t>
            </w:r>
          </w:p>
        </w:tc>
      </w:tr>
      <w:tr w:rsidR="0081046C" w:rsidRPr="0081046C" w14:paraId="75E0C174"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759DEC9C"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Поточні зобов'язання і забезпечення</w:t>
            </w:r>
          </w:p>
        </w:tc>
        <w:tc>
          <w:tcPr>
            <w:tcW w:w="1554" w:type="dxa"/>
            <w:tcBorders>
              <w:top w:val="single" w:sz="4" w:space="0" w:color="000000"/>
              <w:left w:val="single" w:sz="4" w:space="0" w:color="000000"/>
              <w:bottom w:val="single" w:sz="4" w:space="0" w:color="000000"/>
            </w:tcBorders>
            <w:shd w:val="clear" w:color="auto" w:fill="FFFFFF"/>
          </w:tcPr>
          <w:p w14:paraId="468B233E"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96 589</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D3E40D"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63 898</w:t>
            </w:r>
          </w:p>
        </w:tc>
      </w:tr>
      <w:tr w:rsidR="0081046C" w:rsidRPr="0081046C" w14:paraId="63691123" w14:textId="77777777" w:rsidTr="00F20013">
        <w:trPr>
          <w:trHeight w:val="23"/>
        </w:trPr>
        <w:tc>
          <w:tcPr>
            <w:tcW w:w="7312" w:type="dxa"/>
            <w:tcBorders>
              <w:top w:val="single" w:sz="6" w:space="0" w:color="000000"/>
              <w:left w:val="single" w:sz="6" w:space="0" w:color="000000"/>
              <w:bottom w:val="single" w:sz="6" w:space="0" w:color="000000"/>
            </w:tcBorders>
            <w:shd w:val="clear" w:color="auto" w:fill="FFFFFF"/>
          </w:tcPr>
          <w:p w14:paraId="4A6A6D36"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Чистий фінансовий результат: прибуток (збиток)</w:t>
            </w:r>
          </w:p>
        </w:tc>
        <w:tc>
          <w:tcPr>
            <w:tcW w:w="1554" w:type="dxa"/>
            <w:tcBorders>
              <w:top w:val="single" w:sz="4" w:space="0" w:color="000000"/>
              <w:left w:val="single" w:sz="4" w:space="0" w:color="000000"/>
              <w:bottom w:val="single" w:sz="4" w:space="0" w:color="000000"/>
            </w:tcBorders>
            <w:shd w:val="clear" w:color="auto" w:fill="FFFFFF"/>
          </w:tcPr>
          <w:p w14:paraId="6FEC8403"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44 304</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91474C"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84 444</w:t>
            </w:r>
          </w:p>
        </w:tc>
      </w:tr>
      <w:tr w:rsidR="0081046C" w:rsidRPr="0081046C" w14:paraId="1C3C1064" w14:textId="77777777" w:rsidTr="00F20013">
        <w:trPr>
          <w:gridAfter w:val="1"/>
          <w:wAfter w:w="11" w:type="dxa"/>
          <w:trHeight w:val="23"/>
        </w:trPr>
        <w:tc>
          <w:tcPr>
            <w:tcW w:w="7312" w:type="dxa"/>
            <w:tcBorders>
              <w:top w:val="single" w:sz="6" w:space="0" w:color="000000"/>
              <w:left w:val="single" w:sz="6" w:space="0" w:color="000000"/>
              <w:bottom w:val="single" w:sz="6" w:space="0" w:color="000000"/>
            </w:tcBorders>
            <w:shd w:val="clear" w:color="auto" w:fill="FFFFFF"/>
          </w:tcPr>
          <w:p w14:paraId="50C36672"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Середньорічна кількість акцій (шт.)</w:t>
            </w:r>
          </w:p>
        </w:tc>
        <w:tc>
          <w:tcPr>
            <w:tcW w:w="1554" w:type="dxa"/>
            <w:tcBorders>
              <w:top w:val="single" w:sz="4" w:space="0" w:color="000000"/>
              <w:left w:val="single" w:sz="4" w:space="0" w:color="000000"/>
              <w:bottom w:val="single" w:sz="4" w:space="0" w:color="000000"/>
            </w:tcBorders>
            <w:shd w:val="clear" w:color="auto" w:fill="FFFFFF"/>
          </w:tcPr>
          <w:p w14:paraId="733E117B"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7 000 000</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14:paraId="2F31955E"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en-US" w:eastAsia="zh-CN"/>
              </w:rPr>
              <w:t>7 000 000</w:t>
            </w:r>
          </w:p>
        </w:tc>
      </w:tr>
      <w:tr w:rsidR="0081046C" w:rsidRPr="0081046C" w14:paraId="794D3D4B" w14:textId="77777777" w:rsidTr="00F20013">
        <w:trPr>
          <w:gridAfter w:val="1"/>
          <w:wAfter w:w="11" w:type="dxa"/>
          <w:trHeight w:val="23"/>
        </w:trPr>
        <w:tc>
          <w:tcPr>
            <w:tcW w:w="7312" w:type="dxa"/>
            <w:tcBorders>
              <w:top w:val="single" w:sz="6" w:space="0" w:color="000000"/>
              <w:left w:val="single" w:sz="6" w:space="0" w:color="000000"/>
              <w:bottom w:val="single" w:sz="6" w:space="0" w:color="000000"/>
            </w:tcBorders>
            <w:shd w:val="clear" w:color="auto" w:fill="FFFFFF"/>
          </w:tcPr>
          <w:p w14:paraId="474D8C9E" w14:textId="77777777" w:rsidR="0081046C" w:rsidRPr="0081046C" w:rsidRDefault="0081046C" w:rsidP="0081046C">
            <w:pPr>
              <w:tabs>
                <w:tab w:val="left" w:pos="0"/>
              </w:tabs>
              <w:suppressAutoHyphens/>
              <w:spacing w:after="0" w:line="240" w:lineRule="auto"/>
              <w:jc w:val="both"/>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uk-UA" w:eastAsia="zh-CN"/>
              </w:rPr>
              <w:t>Чистий прибуток (збиток) на одну просту акцію (грн)</w:t>
            </w:r>
          </w:p>
        </w:tc>
        <w:tc>
          <w:tcPr>
            <w:tcW w:w="1554" w:type="dxa"/>
            <w:tcBorders>
              <w:top w:val="single" w:sz="4" w:space="0" w:color="000000"/>
              <w:left w:val="single" w:sz="4" w:space="0" w:color="000000"/>
              <w:bottom w:val="single" w:sz="4" w:space="0" w:color="000000"/>
            </w:tcBorders>
            <w:shd w:val="clear" w:color="auto" w:fill="FFFFFF"/>
          </w:tcPr>
          <w:p w14:paraId="05185D66" w14:textId="77777777" w:rsidR="0081046C" w:rsidRPr="0081046C" w:rsidRDefault="0081046C" w:rsidP="0081046C">
            <w:pPr>
              <w:tabs>
                <w:tab w:val="left" w:pos="0"/>
              </w:tabs>
              <w:suppressAutoHyphens/>
              <w:snapToGrid w:val="0"/>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sz w:val="24"/>
                <w:szCs w:val="24"/>
                <w:lang w:val="en-US" w:eastAsia="zh-CN"/>
              </w:rPr>
              <w:t>6,32914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14:paraId="12C3B6EC" w14:textId="77777777" w:rsidR="0081046C" w:rsidRPr="0081046C" w:rsidRDefault="0081046C" w:rsidP="0081046C">
            <w:pPr>
              <w:tabs>
                <w:tab w:val="left" w:pos="0"/>
              </w:tabs>
              <w:suppressAutoHyphens/>
              <w:spacing w:after="0" w:line="240" w:lineRule="auto"/>
              <w:jc w:val="center"/>
              <w:rPr>
                <w:rFonts w:ascii="Times New Roman" w:eastAsia="Times New Roman" w:hAnsi="Times New Roman" w:cs="Times New Roman"/>
                <w:sz w:val="24"/>
                <w:szCs w:val="24"/>
                <w:lang w:val="ru-RU" w:eastAsia="zh-CN"/>
              </w:rPr>
            </w:pPr>
            <w:r w:rsidRPr="0081046C">
              <w:rPr>
                <w:rFonts w:ascii="Times New Roman" w:eastAsia="Times New Roman" w:hAnsi="Times New Roman" w:cs="Times New Roman"/>
                <w:color w:val="000000"/>
                <w:sz w:val="24"/>
                <w:szCs w:val="24"/>
                <w:lang w:val="ru-RU" w:eastAsia="zh-CN"/>
              </w:rPr>
              <w:t>12,06343</w:t>
            </w:r>
          </w:p>
        </w:tc>
      </w:tr>
    </w:tbl>
    <w:p w14:paraId="01A40915" w14:textId="77777777" w:rsidR="00686C47" w:rsidRPr="00EC5236" w:rsidRDefault="00686C47" w:rsidP="0069215B">
      <w:pPr>
        <w:pStyle w:val="a5"/>
        <w:jc w:val="both"/>
        <w:rPr>
          <w:rFonts w:ascii="Times New Roman" w:hAnsi="Times New Roman" w:cs="Times New Roman"/>
          <w:sz w:val="24"/>
          <w:szCs w:val="24"/>
          <w:lang w:val="uk-UA"/>
        </w:rPr>
      </w:pPr>
    </w:p>
    <w:p w14:paraId="1B338547" w14:textId="64C887AF" w:rsidR="009A524C" w:rsidRPr="00EC5236" w:rsidRDefault="00E928C9" w:rsidP="0069215B">
      <w:pPr>
        <w:pStyle w:val="a5"/>
        <w:jc w:val="both"/>
        <w:rPr>
          <w:rFonts w:ascii="Times New Roman" w:hAnsi="Times New Roman" w:cs="Times New Roman"/>
          <w:sz w:val="24"/>
          <w:szCs w:val="24"/>
          <w:lang w:val="uk-UA"/>
        </w:rPr>
      </w:pPr>
      <w:r w:rsidRPr="00EC5236">
        <w:rPr>
          <w:rFonts w:ascii="Times New Roman" w:hAnsi="Times New Roman" w:cs="Times New Roman"/>
          <w:sz w:val="24"/>
          <w:szCs w:val="24"/>
          <w:lang w:val="uk-UA"/>
        </w:rPr>
        <w:t>Наглядова рада Товариства</w:t>
      </w:r>
    </w:p>
    <w:sectPr w:rsidR="009A524C" w:rsidRPr="00EC5236" w:rsidSect="0081046C">
      <w:pgSz w:w="11906" w:h="16838"/>
      <w:pgMar w:top="567"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BA"/>
    <w:rsid w:val="00054A38"/>
    <w:rsid w:val="000632B6"/>
    <w:rsid w:val="00080C1D"/>
    <w:rsid w:val="00084B8E"/>
    <w:rsid w:val="0023088D"/>
    <w:rsid w:val="002C082C"/>
    <w:rsid w:val="00352334"/>
    <w:rsid w:val="003A4B85"/>
    <w:rsid w:val="0044318C"/>
    <w:rsid w:val="00467B13"/>
    <w:rsid w:val="004A1260"/>
    <w:rsid w:val="004A197E"/>
    <w:rsid w:val="004C0272"/>
    <w:rsid w:val="00514170"/>
    <w:rsid w:val="006734F4"/>
    <w:rsid w:val="006858ED"/>
    <w:rsid w:val="00686C47"/>
    <w:rsid w:val="0069215B"/>
    <w:rsid w:val="007011AE"/>
    <w:rsid w:val="00764D61"/>
    <w:rsid w:val="0081046C"/>
    <w:rsid w:val="008A6AAE"/>
    <w:rsid w:val="009A524C"/>
    <w:rsid w:val="00A841BA"/>
    <w:rsid w:val="00B678BE"/>
    <w:rsid w:val="00BF1DBB"/>
    <w:rsid w:val="00D327D6"/>
    <w:rsid w:val="00E928C9"/>
    <w:rsid w:val="00EC5236"/>
    <w:rsid w:val="00F03D84"/>
    <w:rsid w:val="00F16A4A"/>
    <w:rsid w:val="00FE59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7BAB"/>
  <w15:chartTrackingRefBased/>
  <w15:docId w15:val="{C0BBAB5C-9234-40FD-A17C-7453BEB3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7D6"/>
    <w:rPr>
      <w:color w:val="0563C1" w:themeColor="hyperlink"/>
      <w:u w:val="single"/>
    </w:rPr>
  </w:style>
  <w:style w:type="character" w:customStyle="1" w:styleId="UnresolvedMention">
    <w:name w:val="Unresolved Mention"/>
    <w:basedOn w:val="a0"/>
    <w:uiPriority w:val="99"/>
    <w:semiHidden/>
    <w:unhideWhenUsed/>
    <w:rsid w:val="00D327D6"/>
    <w:rPr>
      <w:color w:val="605E5C"/>
      <w:shd w:val="clear" w:color="auto" w:fill="E1DFDD"/>
    </w:rPr>
  </w:style>
  <w:style w:type="character" w:styleId="a4">
    <w:name w:val="FollowedHyperlink"/>
    <w:basedOn w:val="a0"/>
    <w:uiPriority w:val="99"/>
    <w:semiHidden/>
    <w:unhideWhenUsed/>
    <w:rsid w:val="00D327D6"/>
    <w:rPr>
      <w:color w:val="954F72" w:themeColor="followedHyperlink"/>
      <w:u w:val="single"/>
    </w:rPr>
  </w:style>
  <w:style w:type="paragraph" w:styleId="a5">
    <w:name w:val="No Spacing"/>
    <w:uiPriority w:val="1"/>
    <w:qFormat/>
    <w:rsid w:val="00080C1D"/>
    <w:pPr>
      <w:spacing w:after="0" w:line="240" w:lineRule="auto"/>
    </w:pPr>
  </w:style>
  <w:style w:type="paragraph" w:styleId="a6">
    <w:name w:val="List Paragraph"/>
    <w:basedOn w:val="a"/>
    <w:uiPriority w:val="99"/>
    <w:qFormat/>
    <w:rsid w:val="0069215B"/>
    <w:pPr>
      <w:spacing w:after="0" w:line="240" w:lineRule="auto"/>
      <w:ind w:left="720"/>
      <w:contextualSpacing/>
    </w:pPr>
    <w:rPr>
      <w:rFonts w:ascii="Calibri" w:eastAsia="Times New Roman" w:hAnsi="Calibri" w:cs="Calibri"/>
      <w:color w:val="00000A"/>
      <w:sz w:val="24"/>
      <w:szCs w:val="24"/>
      <w:lang w:val="ru-RU"/>
    </w:rPr>
  </w:style>
  <w:style w:type="paragraph" w:styleId="a7">
    <w:name w:val="Subtitle"/>
    <w:basedOn w:val="a"/>
    <w:next w:val="a"/>
    <w:link w:val="a8"/>
    <w:uiPriority w:val="11"/>
    <w:qFormat/>
    <w:rsid w:val="0081046C"/>
    <w:pPr>
      <w:numPr>
        <w:ilvl w:val="1"/>
      </w:numPr>
    </w:pPr>
    <w:rPr>
      <w:rFonts w:eastAsiaTheme="minorEastAsia"/>
      <w:color w:val="5A5A5A" w:themeColor="text1" w:themeTint="A5"/>
      <w:spacing w:val="15"/>
    </w:rPr>
  </w:style>
  <w:style w:type="character" w:customStyle="1" w:styleId="a8">
    <w:name w:val="Підзаголовок Знак"/>
    <w:basedOn w:val="a0"/>
    <w:link w:val="a7"/>
    <w:uiPriority w:val="11"/>
    <w:rsid w:val="0081046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vlenie@zlagoda.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13992</Words>
  <Characters>7977</Characters>
  <Application>Microsoft Office Word</Application>
  <DocSecurity>4</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Гаращук Ігор Вікторович</dc:creator>
  <cp:keywords/>
  <dc:description/>
  <cp:lastModifiedBy>Еременко Елена Дмитриевна</cp:lastModifiedBy>
  <cp:revision>2</cp:revision>
  <dcterms:created xsi:type="dcterms:W3CDTF">2022-11-30T14:41:00Z</dcterms:created>
  <dcterms:modified xsi:type="dcterms:W3CDTF">2022-11-30T14:41:00Z</dcterms:modified>
</cp:coreProperties>
</file>